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62C" w:rsidRPr="009D262C" w:rsidRDefault="009D262C" w:rsidP="009D262C">
      <w:pPr>
        <w:autoSpaceDE w:val="0"/>
        <w:autoSpaceDN w:val="0"/>
        <w:adjustRightInd w:val="0"/>
        <w:spacing w:after="0" w:line="360" w:lineRule="auto"/>
        <w:jc w:val="both"/>
        <w:rPr>
          <w:rFonts w:ascii="Arial" w:hAnsi="Arial" w:cs="Arial"/>
          <w:sz w:val="24"/>
          <w:szCs w:val="24"/>
        </w:rPr>
      </w:pPr>
      <w:r w:rsidRPr="009D262C">
        <w:rPr>
          <w:rFonts w:ascii="Arial" w:hAnsi="Arial" w:cs="Arial"/>
          <w:sz w:val="24"/>
          <w:szCs w:val="24"/>
        </w:rPr>
        <w:t>Durante este tiempo que hemos vivido en pandemia, los equipos de salud han tenido que reorganizarse y priorizar atenciones de urgencia respiratoria por sobre las atenciones habituales tanto en los establecimientos de Atención Primaria de Salud como así mismo en los establecimientos hospitalarios. Toda la red asistencial de Aconcagua se articuló para dar respuesta a las altas demandas de la población no sólo por COVID-19 si no que también por todas las otras patologías y condiciones de saluda que la población requirió.</w:t>
      </w:r>
    </w:p>
    <w:p w:rsidR="009D262C" w:rsidRPr="009D262C" w:rsidRDefault="009D262C" w:rsidP="009D262C">
      <w:pPr>
        <w:autoSpaceDE w:val="0"/>
        <w:autoSpaceDN w:val="0"/>
        <w:adjustRightInd w:val="0"/>
        <w:spacing w:after="0" w:line="360" w:lineRule="auto"/>
        <w:jc w:val="both"/>
        <w:rPr>
          <w:rFonts w:ascii="Arial" w:hAnsi="Arial" w:cs="Arial"/>
          <w:sz w:val="24"/>
          <w:szCs w:val="24"/>
        </w:rPr>
      </w:pPr>
    </w:p>
    <w:p w:rsidR="009D262C" w:rsidRPr="009D262C" w:rsidRDefault="009D262C" w:rsidP="009D262C">
      <w:pPr>
        <w:autoSpaceDE w:val="0"/>
        <w:autoSpaceDN w:val="0"/>
        <w:adjustRightInd w:val="0"/>
        <w:spacing w:after="0" w:line="360" w:lineRule="auto"/>
        <w:jc w:val="both"/>
        <w:rPr>
          <w:rFonts w:ascii="Arial" w:hAnsi="Arial" w:cs="Arial"/>
          <w:sz w:val="24"/>
          <w:szCs w:val="24"/>
        </w:rPr>
      </w:pPr>
      <w:r w:rsidRPr="009D262C">
        <w:rPr>
          <w:rFonts w:ascii="Arial" w:hAnsi="Arial" w:cs="Arial"/>
          <w:sz w:val="24"/>
          <w:szCs w:val="24"/>
        </w:rPr>
        <w:t>Durante el año 2021 queremos destacar las siguientes estrategias desplegadas en la Atención Primaria de Salud:</w:t>
      </w:r>
    </w:p>
    <w:p w:rsidR="009D262C" w:rsidRPr="009D262C" w:rsidRDefault="009D262C" w:rsidP="009D262C">
      <w:pPr>
        <w:autoSpaceDE w:val="0"/>
        <w:autoSpaceDN w:val="0"/>
        <w:adjustRightInd w:val="0"/>
        <w:spacing w:after="0" w:line="360" w:lineRule="auto"/>
        <w:jc w:val="both"/>
        <w:rPr>
          <w:rFonts w:ascii="Arial" w:hAnsi="Arial" w:cs="Arial"/>
          <w:color w:val="585757"/>
          <w:sz w:val="24"/>
          <w:szCs w:val="24"/>
        </w:rPr>
      </w:pPr>
    </w:p>
    <w:p w:rsidR="009D262C" w:rsidRPr="009D262C" w:rsidRDefault="009D262C" w:rsidP="009D262C">
      <w:pPr>
        <w:spacing w:line="360" w:lineRule="auto"/>
        <w:jc w:val="both"/>
        <w:rPr>
          <w:rFonts w:ascii="Arial" w:hAnsi="Arial" w:cs="Arial"/>
          <w:sz w:val="24"/>
          <w:szCs w:val="24"/>
        </w:rPr>
      </w:pPr>
      <w:r w:rsidRPr="009D262C">
        <w:rPr>
          <w:rFonts w:ascii="Arial" w:hAnsi="Arial" w:cs="Arial"/>
          <w:sz w:val="24"/>
          <w:szCs w:val="24"/>
        </w:rPr>
        <w:t>La atención domiciliaria corresponde a toda aquella atención que habitualmente se realiza en el establecimiento de salud, pero que por la contingencia actual, no es recomendable o factible que se haga en los CESFAM; por lo cual se debe realizar en el domicilio de la persona. Está destinada a personas que, por su condición de salud, requieren atención que no puede ser diferida. Durante el año 2021 se realizaron 10.597 visitas y 11.609 procedimientos médicos en domicilio.</w:t>
      </w:r>
      <w:r w:rsidRPr="009D262C">
        <w:rPr>
          <w:rFonts w:ascii="Arial" w:hAnsi="Arial" w:cs="Arial"/>
          <w:noProof/>
          <w:sz w:val="24"/>
          <w:szCs w:val="24"/>
          <w:lang w:eastAsia="es-CL"/>
        </w:rPr>
        <w:t xml:space="preserve"> </w:t>
      </w:r>
      <w:r w:rsidRPr="009D262C">
        <w:rPr>
          <w:rFonts w:ascii="Arial" w:eastAsia="+mn-ea" w:hAnsi="Arial" w:cs="Arial"/>
          <w:bCs/>
          <w:color w:val="000000"/>
          <w:sz w:val="24"/>
          <w:szCs w:val="24"/>
          <w:lang w:val="es-ES"/>
        </w:rPr>
        <w:t xml:space="preserve">Así también </w:t>
      </w:r>
      <w:r w:rsidRPr="009D262C">
        <w:rPr>
          <w:rFonts w:ascii="Arial" w:hAnsi="Arial" w:cs="Arial"/>
          <w:sz w:val="24"/>
          <w:szCs w:val="24"/>
        </w:rPr>
        <w:t>Durante el año 2021, 17.499 personas recibieron sus medicamentos y alimento en domicilio.</w:t>
      </w:r>
    </w:p>
    <w:p w:rsidR="009D262C" w:rsidRPr="009D262C" w:rsidRDefault="009D262C" w:rsidP="009D262C">
      <w:pPr>
        <w:spacing w:line="360" w:lineRule="auto"/>
        <w:jc w:val="both"/>
        <w:rPr>
          <w:rFonts w:ascii="Arial" w:hAnsi="Arial" w:cs="Arial"/>
          <w:sz w:val="24"/>
          <w:szCs w:val="24"/>
        </w:rPr>
      </w:pPr>
      <w:r w:rsidRPr="009D262C">
        <w:rPr>
          <w:rFonts w:ascii="Arial" w:hAnsi="Arial" w:cs="Arial"/>
          <w:sz w:val="24"/>
          <w:szCs w:val="24"/>
        </w:rPr>
        <w:t xml:space="preserve">En cuanto a la rehabilitación de pacientes en </w:t>
      </w:r>
      <w:proofErr w:type="spellStart"/>
      <w:r w:rsidRPr="009D262C">
        <w:rPr>
          <w:rFonts w:ascii="Arial" w:hAnsi="Arial" w:cs="Arial"/>
          <w:sz w:val="24"/>
          <w:szCs w:val="24"/>
        </w:rPr>
        <w:t>domicilioen</w:t>
      </w:r>
      <w:proofErr w:type="spellEnd"/>
      <w:r w:rsidRPr="009D262C">
        <w:rPr>
          <w:rFonts w:ascii="Arial" w:hAnsi="Arial" w:cs="Arial"/>
          <w:sz w:val="24"/>
          <w:szCs w:val="24"/>
        </w:rPr>
        <w:t xml:space="preserve"> el año 2021 se realizaron 4378 atenciones a 105 personas en rehabilitación post </w:t>
      </w:r>
      <w:proofErr w:type="spellStart"/>
      <w:r w:rsidRPr="009D262C">
        <w:rPr>
          <w:rFonts w:ascii="Arial" w:hAnsi="Arial" w:cs="Arial"/>
          <w:sz w:val="24"/>
          <w:szCs w:val="24"/>
        </w:rPr>
        <w:t>covid</w:t>
      </w:r>
      <w:proofErr w:type="spellEnd"/>
      <w:r w:rsidRPr="009D262C">
        <w:rPr>
          <w:rFonts w:ascii="Arial" w:hAnsi="Arial" w:cs="Arial"/>
          <w:sz w:val="24"/>
          <w:szCs w:val="24"/>
        </w:rPr>
        <w:t>.</w:t>
      </w:r>
    </w:p>
    <w:p w:rsidR="009D262C" w:rsidRDefault="009D262C" w:rsidP="009D262C">
      <w:pPr>
        <w:spacing w:line="360" w:lineRule="auto"/>
        <w:jc w:val="both"/>
        <w:rPr>
          <w:rFonts w:ascii="Arial" w:eastAsia="Times New Roman" w:hAnsi="Arial" w:cs="Arial"/>
          <w:color w:val="000000"/>
          <w:sz w:val="24"/>
          <w:szCs w:val="24"/>
        </w:rPr>
      </w:pPr>
      <w:r w:rsidRPr="009D262C">
        <w:rPr>
          <w:rFonts w:ascii="Arial" w:hAnsi="Arial" w:cs="Arial"/>
          <w:sz w:val="24"/>
          <w:szCs w:val="24"/>
        </w:rPr>
        <w:t xml:space="preserve">La búsqueda activa de casos fue una estrategia para la detección de casos Covid-19 que el sistema de salud no ha pesquisado por consulta espontánea, puesto que la personas son asintomáticas a la enfermedad. Es muy importante señalar que durante el año 2021 se realizaron 142.653 test PCR y antígeno en modalidad de búsqueda activa de casos </w:t>
      </w:r>
      <w:r w:rsidRPr="009D262C">
        <w:rPr>
          <w:rFonts w:ascii="Arial" w:eastAsia="Times New Roman" w:hAnsi="Arial" w:cs="Arial"/>
          <w:color w:val="000000"/>
          <w:sz w:val="24"/>
          <w:szCs w:val="24"/>
        </w:rPr>
        <w:t xml:space="preserve">Durante el año 2021 se habilitaron en los trece CESFAM la toma de antígenos, se organizaron equipos de búsqueda activa de casos sintomáticos leves con esta técnica alcanzando una cantidad de 13.570 test de antígenos tomados.  </w:t>
      </w:r>
    </w:p>
    <w:p w:rsidR="009D262C" w:rsidRPr="009D262C" w:rsidRDefault="009D262C" w:rsidP="009D262C">
      <w:pPr>
        <w:spacing w:line="360" w:lineRule="auto"/>
        <w:jc w:val="both"/>
        <w:rPr>
          <w:rFonts w:ascii="Arial" w:hAnsi="Arial" w:cs="Arial"/>
          <w:sz w:val="24"/>
          <w:szCs w:val="24"/>
        </w:rPr>
      </w:pPr>
    </w:p>
    <w:p w:rsidR="009D262C" w:rsidRPr="009D262C" w:rsidRDefault="009D262C" w:rsidP="009D262C">
      <w:pPr>
        <w:pStyle w:val="Prrafodelista"/>
        <w:numPr>
          <w:ilvl w:val="0"/>
          <w:numId w:val="1"/>
        </w:numPr>
        <w:spacing w:line="360" w:lineRule="auto"/>
        <w:rPr>
          <w:rFonts w:ascii="Arial" w:hAnsi="Arial" w:cs="Arial"/>
          <w:sz w:val="24"/>
          <w:szCs w:val="24"/>
        </w:rPr>
      </w:pPr>
      <w:r w:rsidRPr="009D262C">
        <w:rPr>
          <w:rFonts w:ascii="Arial" w:eastAsia="+mn-ea" w:hAnsi="Arial" w:cs="Arial"/>
          <w:b/>
          <w:bCs/>
          <w:color w:val="000000"/>
          <w:sz w:val="24"/>
          <w:szCs w:val="24"/>
          <w:lang w:val="es-ES"/>
        </w:rPr>
        <w:lastRenderedPageBreak/>
        <w:t>Atención Remota</w:t>
      </w:r>
    </w:p>
    <w:p w:rsidR="009D262C" w:rsidRPr="009D262C" w:rsidRDefault="009D262C" w:rsidP="009D262C">
      <w:pPr>
        <w:spacing w:line="360" w:lineRule="auto"/>
        <w:jc w:val="both"/>
        <w:rPr>
          <w:rFonts w:ascii="Arial" w:eastAsia="+mn-ea" w:hAnsi="Arial" w:cs="Arial"/>
          <w:color w:val="000000"/>
          <w:sz w:val="24"/>
          <w:szCs w:val="24"/>
          <w:lang w:val="es-ES"/>
        </w:rPr>
      </w:pPr>
      <w:r w:rsidRPr="009D262C">
        <w:rPr>
          <w:rFonts w:ascii="Arial" w:eastAsia="+mn-ea" w:hAnsi="Arial" w:cs="Arial"/>
          <w:color w:val="000000"/>
          <w:sz w:val="24"/>
          <w:szCs w:val="24"/>
          <w:lang w:val="es-ES"/>
        </w:rPr>
        <w:t xml:space="preserve">Durante la pandemia se fortaleció la atención remota sobre todo para aquellos grupos prioritarios, a quienes por resguardo y protección no se pudo entregar una atención presencial en los establecimientos de salud. </w:t>
      </w:r>
      <w:proofErr w:type="spellStart"/>
      <w:r w:rsidRPr="009D262C">
        <w:rPr>
          <w:rFonts w:ascii="Arial" w:eastAsia="+mn-ea" w:hAnsi="Arial" w:cs="Arial"/>
          <w:color w:val="000000"/>
          <w:sz w:val="24"/>
          <w:szCs w:val="24"/>
          <w:lang w:val="es-ES"/>
        </w:rPr>
        <w:t>Sse</w:t>
      </w:r>
      <w:proofErr w:type="spellEnd"/>
      <w:r w:rsidRPr="009D262C">
        <w:rPr>
          <w:rFonts w:ascii="Arial" w:eastAsia="+mn-ea" w:hAnsi="Arial" w:cs="Arial"/>
          <w:color w:val="000000"/>
          <w:sz w:val="24"/>
          <w:szCs w:val="24"/>
          <w:lang w:val="es-ES"/>
        </w:rPr>
        <w:t xml:space="preserve"> realizaron 95.663 Seguimientos remotos y 7008 Consultas Médicas Remotas.</w:t>
      </w:r>
    </w:p>
    <w:p w:rsidR="009D262C" w:rsidRPr="009D262C" w:rsidRDefault="009D262C" w:rsidP="009D262C">
      <w:pPr>
        <w:pStyle w:val="Prrafodelista"/>
        <w:numPr>
          <w:ilvl w:val="0"/>
          <w:numId w:val="1"/>
        </w:numPr>
        <w:spacing w:line="360" w:lineRule="auto"/>
        <w:rPr>
          <w:rFonts w:ascii="Arial" w:hAnsi="Arial" w:cs="Arial"/>
          <w:sz w:val="24"/>
          <w:szCs w:val="24"/>
        </w:rPr>
      </w:pPr>
      <w:r w:rsidRPr="009D262C">
        <w:rPr>
          <w:rFonts w:ascii="Arial" w:eastAsia="+mn-ea" w:hAnsi="Arial" w:cs="Arial"/>
          <w:b/>
          <w:bCs/>
          <w:color w:val="000000"/>
          <w:sz w:val="24"/>
          <w:szCs w:val="24"/>
        </w:rPr>
        <w:t>Servicio de Alta Resolutividad (SAR) Centenario en la Comuna de Los Andes</w:t>
      </w:r>
    </w:p>
    <w:p w:rsidR="009D262C" w:rsidRPr="009D262C" w:rsidRDefault="009D262C" w:rsidP="009D262C">
      <w:pPr>
        <w:spacing w:line="360" w:lineRule="auto"/>
        <w:jc w:val="both"/>
        <w:rPr>
          <w:rFonts w:ascii="Arial" w:eastAsia="Times New Roman" w:hAnsi="Arial" w:cs="Arial"/>
          <w:color w:val="000000"/>
          <w:sz w:val="24"/>
          <w:szCs w:val="24"/>
          <w:lang w:val="es-ES"/>
        </w:rPr>
      </w:pPr>
      <w:r w:rsidRPr="009D262C">
        <w:rPr>
          <w:rFonts w:ascii="Arial" w:eastAsia="Times New Roman" w:hAnsi="Arial" w:cs="Arial"/>
          <w:color w:val="000000"/>
          <w:sz w:val="24"/>
          <w:szCs w:val="24"/>
          <w:lang w:val="es-ES"/>
        </w:rPr>
        <w:t xml:space="preserve">El SAR Centenario abrió sus puertas a la comunidad el día 13.04.2021 y desde esa fecha a diciembre </w:t>
      </w:r>
      <w:r w:rsidRPr="009D262C">
        <w:rPr>
          <w:rFonts w:ascii="Arial" w:eastAsia="Times New Roman" w:hAnsi="Arial" w:cs="Arial"/>
          <w:sz w:val="24"/>
          <w:szCs w:val="24"/>
          <w:lang w:val="es-ES"/>
        </w:rPr>
        <w:t>ha entregado 14.518</w:t>
      </w:r>
      <w:r w:rsidRPr="009D262C">
        <w:rPr>
          <w:rFonts w:ascii="Arial" w:eastAsia="Times New Roman" w:hAnsi="Arial" w:cs="Arial"/>
          <w:color w:val="000000"/>
          <w:sz w:val="24"/>
          <w:szCs w:val="24"/>
          <w:lang w:val="es-ES"/>
        </w:rPr>
        <w:t xml:space="preserve">. </w:t>
      </w:r>
      <w:proofErr w:type="gramStart"/>
      <w:r w:rsidRPr="009D262C">
        <w:rPr>
          <w:rFonts w:ascii="Arial" w:eastAsia="Times New Roman" w:hAnsi="Arial" w:cs="Arial"/>
          <w:color w:val="000000"/>
          <w:sz w:val="24"/>
          <w:szCs w:val="24"/>
          <w:lang w:val="es-ES"/>
        </w:rPr>
        <w:t>atenciones</w:t>
      </w:r>
      <w:proofErr w:type="gramEnd"/>
      <w:r w:rsidRPr="009D262C">
        <w:rPr>
          <w:rFonts w:ascii="Arial" w:eastAsia="Times New Roman" w:hAnsi="Arial" w:cs="Arial"/>
          <w:color w:val="000000"/>
          <w:sz w:val="24"/>
          <w:szCs w:val="24"/>
          <w:lang w:val="es-ES"/>
        </w:rPr>
        <w:t>.</w:t>
      </w:r>
    </w:p>
    <w:p w:rsidR="009D262C" w:rsidRPr="009D262C" w:rsidRDefault="009D262C" w:rsidP="009D262C">
      <w:pPr>
        <w:spacing w:line="360" w:lineRule="auto"/>
        <w:jc w:val="both"/>
        <w:rPr>
          <w:rFonts w:ascii="Arial" w:hAnsi="Arial" w:cs="Arial"/>
          <w:sz w:val="24"/>
          <w:szCs w:val="24"/>
        </w:rPr>
      </w:pPr>
      <w:r w:rsidRPr="009D262C">
        <w:rPr>
          <w:rFonts w:ascii="Arial" w:eastAsia="+mn-ea" w:hAnsi="Arial" w:cs="Arial"/>
          <w:b/>
          <w:bCs/>
          <w:color w:val="000000"/>
          <w:sz w:val="24"/>
          <w:szCs w:val="24"/>
        </w:rPr>
        <w:t>Avances en la implementación ECICEP</w:t>
      </w:r>
    </w:p>
    <w:p w:rsidR="009D262C" w:rsidRPr="009D262C" w:rsidRDefault="009D262C" w:rsidP="009D262C">
      <w:pPr>
        <w:spacing w:line="360" w:lineRule="auto"/>
        <w:jc w:val="both"/>
        <w:rPr>
          <w:rFonts w:ascii="Arial" w:hAnsi="Arial" w:cs="Arial"/>
          <w:sz w:val="24"/>
          <w:szCs w:val="24"/>
        </w:rPr>
      </w:pPr>
      <w:r w:rsidRPr="009D262C">
        <w:rPr>
          <w:rFonts w:ascii="Arial" w:hAnsi="Arial" w:cs="Arial"/>
          <w:sz w:val="24"/>
          <w:szCs w:val="24"/>
        </w:rPr>
        <w:t xml:space="preserve">Los equipos de salud desde el año 2020 se </w:t>
      </w:r>
      <w:proofErr w:type="gramStart"/>
      <w:r w:rsidRPr="009D262C">
        <w:rPr>
          <w:rFonts w:ascii="Arial" w:hAnsi="Arial" w:cs="Arial"/>
          <w:sz w:val="24"/>
          <w:szCs w:val="24"/>
        </w:rPr>
        <w:t>implementó</w:t>
      </w:r>
      <w:proofErr w:type="gramEnd"/>
      <w:r w:rsidRPr="009D262C">
        <w:rPr>
          <w:rFonts w:ascii="Arial" w:hAnsi="Arial" w:cs="Arial"/>
          <w:sz w:val="24"/>
          <w:szCs w:val="24"/>
        </w:rPr>
        <w:t xml:space="preserve"> la ESTRATEGIA DE CUIDADOS INTEGRALES ECICEP en todos los establecimientos de la red de APS de este servicio de salud. Entregando una nueva mirada y forma de atender centrada en la persona, integral y multidisciplinaria por el equipo de salud estableciendo un plan de cuidado consensuado con el usuario.  </w:t>
      </w:r>
    </w:p>
    <w:p w:rsidR="009D262C" w:rsidRPr="009D262C" w:rsidRDefault="009D262C" w:rsidP="009D262C">
      <w:pPr>
        <w:spacing w:line="360" w:lineRule="auto"/>
        <w:jc w:val="both"/>
        <w:rPr>
          <w:rFonts w:ascii="Arial" w:eastAsia="+mn-ea" w:hAnsi="Arial" w:cs="Arial"/>
          <w:b/>
          <w:color w:val="000000"/>
          <w:sz w:val="24"/>
          <w:szCs w:val="24"/>
        </w:rPr>
      </w:pPr>
      <w:r w:rsidRPr="009D262C">
        <w:rPr>
          <w:rFonts w:ascii="Arial" w:eastAsia="+mn-ea" w:hAnsi="Arial" w:cs="Arial"/>
          <w:b/>
          <w:color w:val="000000"/>
          <w:sz w:val="24"/>
          <w:szCs w:val="24"/>
        </w:rPr>
        <w:t>Vacunación</w:t>
      </w:r>
    </w:p>
    <w:p w:rsidR="009D262C" w:rsidRPr="009D262C" w:rsidRDefault="009D262C" w:rsidP="009D262C">
      <w:pPr>
        <w:spacing w:line="360" w:lineRule="auto"/>
        <w:jc w:val="both"/>
        <w:rPr>
          <w:rFonts w:ascii="Arial" w:hAnsi="Arial" w:cs="Arial"/>
          <w:sz w:val="24"/>
          <w:szCs w:val="24"/>
        </w:rPr>
      </w:pPr>
      <w:r w:rsidRPr="009D262C">
        <w:rPr>
          <w:rFonts w:ascii="Arial" w:hAnsi="Arial" w:cs="Arial"/>
          <w:sz w:val="24"/>
          <w:szCs w:val="24"/>
        </w:rPr>
        <w:t xml:space="preserve">El año 2021 se administraron un total de 676.159 dosis. </w:t>
      </w:r>
    </w:p>
    <w:p w:rsidR="009D262C" w:rsidRPr="009D262C" w:rsidRDefault="009D262C" w:rsidP="009D262C">
      <w:pPr>
        <w:spacing w:line="360" w:lineRule="auto"/>
        <w:jc w:val="both"/>
        <w:rPr>
          <w:rFonts w:ascii="Arial" w:hAnsi="Arial" w:cs="Arial"/>
          <w:sz w:val="24"/>
          <w:szCs w:val="24"/>
        </w:rPr>
      </w:pPr>
      <w:r w:rsidRPr="009D262C">
        <w:rPr>
          <w:rFonts w:ascii="Arial" w:hAnsi="Arial" w:cs="Arial"/>
          <w:sz w:val="24"/>
          <w:szCs w:val="24"/>
        </w:rPr>
        <w:t xml:space="preserve">Por lo tanto el Porcentaje de cobertura al 31 de diciembre 2021 en la </w:t>
      </w:r>
      <w:proofErr w:type="spellStart"/>
      <w:r w:rsidRPr="009D262C">
        <w:rPr>
          <w:rFonts w:ascii="Arial" w:hAnsi="Arial" w:cs="Arial"/>
          <w:sz w:val="24"/>
          <w:szCs w:val="24"/>
        </w:rPr>
        <w:t>complelitud</w:t>
      </w:r>
      <w:proofErr w:type="spellEnd"/>
      <w:r w:rsidRPr="009D262C">
        <w:rPr>
          <w:rFonts w:ascii="Arial" w:hAnsi="Arial" w:cs="Arial"/>
          <w:sz w:val="24"/>
          <w:szCs w:val="24"/>
        </w:rPr>
        <w:t xml:space="preserve"> de esquemas de vacunación es:</w:t>
      </w:r>
    </w:p>
    <w:p w:rsidR="009D262C" w:rsidRPr="009D262C" w:rsidRDefault="009D262C" w:rsidP="009D262C">
      <w:pPr>
        <w:spacing w:line="360" w:lineRule="auto"/>
        <w:jc w:val="both"/>
        <w:rPr>
          <w:rFonts w:ascii="Arial" w:hAnsi="Arial" w:cs="Arial"/>
          <w:sz w:val="24"/>
          <w:szCs w:val="24"/>
        </w:rPr>
      </w:pPr>
      <w:r w:rsidRPr="009D262C">
        <w:rPr>
          <w:rFonts w:ascii="Arial" w:hAnsi="Arial" w:cs="Arial"/>
          <w:sz w:val="24"/>
          <w:szCs w:val="24"/>
        </w:rPr>
        <w:t>-</w:t>
      </w:r>
      <w:r w:rsidRPr="009D262C">
        <w:rPr>
          <w:rFonts w:ascii="Arial" w:hAnsi="Arial" w:cs="Arial"/>
          <w:sz w:val="24"/>
          <w:szCs w:val="24"/>
        </w:rPr>
        <w:tab/>
        <w:t>Para mayores de 18 años 96.7%</w:t>
      </w:r>
    </w:p>
    <w:p w:rsidR="009D262C" w:rsidRPr="009D262C" w:rsidRDefault="009D262C" w:rsidP="009D262C">
      <w:pPr>
        <w:spacing w:line="360" w:lineRule="auto"/>
        <w:jc w:val="both"/>
        <w:rPr>
          <w:rFonts w:ascii="Arial" w:hAnsi="Arial" w:cs="Arial"/>
          <w:sz w:val="24"/>
          <w:szCs w:val="24"/>
        </w:rPr>
      </w:pPr>
      <w:r w:rsidRPr="009D262C">
        <w:rPr>
          <w:rFonts w:ascii="Arial" w:hAnsi="Arial" w:cs="Arial"/>
          <w:sz w:val="24"/>
          <w:szCs w:val="24"/>
        </w:rPr>
        <w:t>-</w:t>
      </w:r>
      <w:r w:rsidRPr="009D262C">
        <w:rPr>
          <w:rFonts w:ascii="Arial" w:hAnsi="Arial" w:cs="Arial"/>
          <w:sz w:val="24"/>
          <w:szCs w:val="24"/>
        </w:rPr>
        <w:tab/>
        <w:t>Y de 12 a 18 años 72.3%</w:t>
      </w:r>
    </w:p>
    <w:p w:rsidR="009D262C" w:rsidRDefault="009D262C" w:rsidP="009D262C">
      <w:pPr>
        <w:spacing w:line="360" w:lineRule="auto"/>
        <w:jc w:val="both"/>
        <w:rPr>
          <w:rFonts w:ascii="Arial" w:hAnsi="Arial" w:cs="Arial"/>
          <w:sz w:val="24"/>
          <w:szCs w:val="24"/>
        </w:rPr>
      </w:pPr>
      <w:r w:rsidRPr="009D262C">
        <w:rPr>
          <w:rFonts w:ascii="Arial" w:hAnsi="Arial" w:cs="Arial"/>
          <w:sz w:val="24"/>
          <w:szCs w:val="24"/>
        </w:rPr>
        <w:t xml:space="preserve">A la fecha se continúa el trabajo en todos los puntos de vacunación sumándose este año 2022 la inoculación de una 4ta dosis que nos ha permitido afrontar la pandemia de mejor manera.  </w:t>
      </w:r>
    </w:p>
    <w:p w:rsidR="009D262C" w:rsidRPr="009D262C" w:rsidRDefault="009D262C" w:rsidP="009D262C">
      <w:pPr>
        <w:spacing w:line="360" w:lineRule="auto"/>
        <w:jc w:val="both"/>
        <w:rPr>
          <w:rFonts w:ascii="Arial" w:hAnsi="Arial" w:cs="Arial"/>
          <w:sz w:val="24"/>
          <w:szCs w:val="24"/>
        </w:rPr>
      </w:pPr>
    </w:p>
    <w:p w:rsidR="009D262C" w:rsidRPr="009D262C" w:rsidRDefault="009D262C" w:rsidP="009D262C">
      <w:pPr>
        <w:spacing w:after="160" w:line="360" w:lineRule="auto"/>
        <w:rPr>
          <w:rFonts w:ascii="Arial" w:eastAsiaTheme="minorHAnsi" w:hAnsi="Arial" w:cs="Arial"/>
          <w:b/>
          <w:sz w:val="24"/>
          <w:szCs w:val="24"/>
          <w:lang w:val="es-ES"/>
        </w:rPr>
      </w:pPr>
      <w:r w:rsidRPr="009D262C">
        <w:rPr>
          <w:rFonts w:ascii="Arial" w:eastAsiaTheme="minorHAnsi" w:hAnsi="Arial" w:cs="Arial"/>
          <w:b/>
          <w:sz w:val="24"/>
          <w:szCs w:val="24"/>
          <w:lang w:val="es-ES"/>
        </w:rPr>
        <w:lastRenderedPageBreak/>
        <w:t>Gestión de Camas</w:t>
      </w:r>
    </w:p>
    <w:p w:rsidR="009D262C" w:rsidRPr="009D262C" w:rsidRDefault="009D262C" w:rsidP="009D262C">
      <w:pPr>
        <w:spacing w:after="160" w:line="360" w:lineRule="auto"/>
        <w:jc w:val="both"/>
        <w:rPr>
          <w:rFonts w:ascii="Arial" w:eastAsiaTheme="minorHAnsi" w:hAnsi="Arial" w:cs="Arial"/>
          <w:sz w:val="24"/>
          <w:szCs w:val="24"/>
        </w:rPr>
      </w:pPr>
      <w:r w:rsidRPr="009D262C">
        <w:rPr>
          <w:rFonts w:ascii="Arial" w:eastAsiaTheme="minorHAnsi" w:hAnsi="Arial" w:cs="Arial"/>
          <w:sz w:val="24"/>
          <w:szCs w:val="24"/>
        </w:rPr>
        <w:t>El 2021 la Pandemia de COVID-19 tuvo circunstancias diferentes. Ya no era la misma incertidumbre del 2020, habían más certezas, pero también nuevas dificultades. Implementamos un crecimiento de camas críticas nunca antes visto en Aconcagua. Pasamos de tener 6 camas en el Hospital San Camilo, a tener 39 en toda nuestra red en el peor momento de la pandemia, distribuyendo 23 en San Felipe y 16 en Los Andes, las que no sólo recibieron personas de Aconcagua, si no también de otras regiones. Hoy, podemos decir con propiedad que hemos logrado algo histórico en esta gestión, ya que tendremos 12 camas críticas en el Hospital San Camilo y 6 en el Hospital San Juan de Dios de modo permanente, dotando por primera vez a Los Andes de una unidad de paciente crítico, la que se incorporará como un servicio más al establecimiento.</w:t>
      </w:r>
    </w:p>
    <w:p w:rsidR="009D262C" w:rsidRPr="009D262C" w:rsidRDefault="009D262C" w:rsidP="009D262C">
      <w:pPr>
        <w:spacing w:after="160" w:line="360" w:lineRule="auto"/>
        <w:rPr>
          <w:rFonts w:ascii="Arial" w:eastAsiaTheme="minorHAnsi" w:hAnsi="Arial" w:cs="Arial"/>
          <w:b/>
          <w:sz w:val="24"/>
          <w:szCs w:val="24"/>
          <w:lang w:val="es-ES"/>
        </w:rPr>
      </w:pPr>
      <w:r w:rsidRPr="009D262C">
        <w:rPr>
          <w:rFonts w:ascii="Arial" w:eastAsiaTheme="minorHAnsi" w:hAnsi="Arial" w:cs="Arial"/>
          <w:b/>
          <w:sz w:val="24"/>
          <w:szCs w:val="24"/>
          <w:lang w:val="es-ES"/>
        </w:rPr>
        <w:t>Implementación policlínico de tratamiento anticoagulante oral (TACO) en la red asistencial</w:t>
      </w:r>
    </w:p>
    <w:p w:rsidR="009D262C" w:rsidRPr="009D262C" w:rsidRDefault="009D262C" w:rsidP="009D262C">
      <w:pPr>
        <w:spacing w:after="160" w:line="360" w:lineRule="auto"/>
        <w:jc w:val="both"/>
        <w:rPr>
          <w:rFonts w:ascii="Arial" w:eastAsiaTheme="minorHAnsi" w:hAnsi="Arial" w:cs="Arial"/>
          <w:sz w:val="24"/>
          <w:szCs w:val="24"/>
          <w:lang w:val="es-ES"/>
        </w:rPr>
      </w:pPr>
      <w:r w:rsidRPr="009D262C">
        <w:rPr>
          <w:rFonts w:ascii="Arial" w:eastAsiaTheme="minorHAnsi" w:hAnsi="Arial" w:cs="Arial"/>
          <w:sz w:val="24"/>
          <w:szCs w:val="24"/>
          <w:lang w:val="es-ES"/>
        </w:rPr>
        <w:t>Implementamos un nuevo sistema de toma de exámenes para pacientes en control de tratamiento anticoagulante, inicialmente en el Hospital San Camilo y San Juan de</w:t>
      </w:r>
      <w:r w:rsidR="000A4F90">
        <w:rPr>
          <w:rFonts w:ascii="Arial" w:eastAsiaTheme="minorHAnsi" w:hAnsi="Arial" w:cs="Arial"/>
          <w:sz w:val="24"/>
          <w:szCs w:val="24"/>
          <w:lang w:val="es-ES"/>
        </w:rPr>
        <w:t xml:space="preserve"> Dios y posteriormente en los </w:t>
      </w:r>
      <w:r w:rsidRPr="009D262C">
        <w:rPr>
          <w:rFonts w:ascii="Arial" w:eastAsiaTheme="minorHAnsi" w:hAnsi="Arial" w:cs="Arial"/>
          <w:sz w:val="24"/>
          <w:szCs w:val="24"/>
          <w:lang w:val="es-ES"/>
        </w:rPr>
        <w:t xml:space="preserve">hospitales San Francisco de Llay </w:t>
      </w:r>
      <w:proofErr w:type="spellStart"/>
      <w:r w:rsidRPr="009D262C">
        <w:rPr>
          <w:rFonts w:ascii="Arial" w:eastAsiaTheme="minorHAnsi" w:hAnsi="Arial" w:cs="Arial"/>
          <w:sz w:val="24"/>
          <w:szCs w:val="24"/>
          <w:lang w:val="es-ES"/>
        </w:rPr>
        <w:t>Llay</w:t>
      </w:r>
      <w:proofErr w:type="spellEnd"/>
      <w:r w:rsidRPr="009D262C">
        <w:rPr>
          <w:rFonts w:ascii="Arial" w:eastAsiaTheme="minorHAnsi" w:hAnsi="Arial" w:cs="Arial"/>
          <w:sz w:val="24"/>
          <w:szCs w:val="24"/>
          <w:lang w:val="es-ES"/>
        </w:rPr>
        <w:t xml:space="preserve"> y San Antonio de Putaendo.</w:t>
      </w:r>
    </w:p>
    <w:p w:rsidR="009D262C" w:rsidRPr="009D262C" w:rsidRDefault="009D262C" w:rsidP="009D262C">
      <w:pPr>
        <w:spacing w:after="160" w:line="360" w:lineRule="auto"/>
        <w:jc w:val="both"/>
        <w:rPr>
          <w:rFonts w:ascii="Arial" w:eastAsiaTheme="minorHAnsi" w:hAnsi="Arial" w:cs="Arial"/>
          <w:sz w:val="24"/>
          <w:szCs w:val="24"/>
          <w:lang w:val="es-ES"/>
        </w:rPr>
      </w:pPr>
      <w:r w:rsidRPr="009D262C">
        <w:rPr>
          <w:rFonts w:ascii="Arial" w:eastAsiaTheme="minorHAnsi" w:hAnsi="Arial" w:cs="Arial"/>
          <w:sz w:val="24"/>
          <w:szCs w:val="24"/>
          <w:lang w:val="es-ES"/>
        </w:rPr>
        <w:t xml:space="preserve">A la fecha en San Felipe hay 800 pacientes en control, en Los Andes 597, en Putaendo 57 y en Llay </w:t>
      </w:r>
      <w:proofErr w:type="spellStart"/>
      <w:r w:rsidRPr="009D262C">
        <w:rPr>
          <w:rFonts w:ascii="Arial" w:eastAsiaTheme="minorHAnsi" w:hAnsi="Arial" w:cs="Arial"/>
          <w:sz w:val="24"/>
          <w:szCs w:val="24"/>
          <w:lang w:val="es-ES"/>
        </w:rPr>
        <w:t>Llay</w:t>
      </w:r>
      <w:proofErr w:type="spellEnd"/>
      <w:r w:rsidRPr="009D262C">
        <w:rPr>
          <w:rFonts w:ascii="Arial" w:eastAsiaTheme="minorHAnsi" w:hAnsi="Arial" w:cs="Arial"/>
          <w:sz w:val="24"/>
          <w:szCs w:val="24"/>
          <w:lang w:val="es-ES"/>
        </w:rPr>
        <w:t xml:space="preserve"> 10, permitiendo con ello mejorar la atención de los usuarios en control con </w:t>
      </w:r>
      <w:r w:rsidRPr="009D262C">
        <w:rPr>
          <w:rFonts w:ascii="Arial" w:eastAsiaTheme="minorHAnsi" w:hAnsi="Arial" w:cs="Arial"/>
          <w:sz w:val="24"/>
          <w:szCs w:val="24"/>
        </w:rPr>
        <w:t xml:space="preserve">tratamiento anticoagulante oral, </w:t>
      </w:r>
      <w:r w:rsidRPr="009D262C">
        <w:rPr>
          <w:rFonts w:ascii="Arial" w:eastAsiaTheme="minorHAnsi" w:hAnsi="Arial" w:cs="Arial"/>
          <w:sz w:val="24"/>
          <w:szCs w:val="24"/>
          <w:lang w:val="es-ES"/>
        </w:rPr>
        <w:t xml:space="preserve">acercar la atención de especialidad a los hospitales de la familia y la comunidad mejorando el acceso de la atención de los usuarios según territorialidad. </w:t>
      </w:r>
    </w:p>
    <w:p w:rsidR="009D262C" w:rsidRPr="009D262C" w:rsidRDefault="009D262C" w:rsidP="009D262C">
      <w:pPr>
        <w:spacing w:after="0" w:line="360" w:lineRule="auto"/>
        <w:jc w:val="both"/>
        <w:rPr>
          <w:rFonts w:ascii="Arial" w:eastAsiaTheme="minorHAnsi" w:hAnsi="Arial" w:cs="Arial"/>
          <w:sz w:val="24"/>
          <w:szCs w:val="24"/>
          <w:lang w:val="es-ES"/>
        </w:rPr>
      </w:pPr>
    </w:p>
    <w:p w:rsidR="009D262C" w:rsidRDefault="009D262C" w:rsidP="009D262C">
      <w:pPr>
        <w:spacing w:after="160" w:line="360" w:lineRule="auto"/>
        <w:jc w:val="both"/>
        <w:rPr>
          <w:rFonts w:ascii="Arial" w:eastAsiaTheme="minorHAnsi" w:hAnsi="Arial" w:cs="Arial"/>
          <w:sz w:val="24"/>
          <w:szCs w:val="24"/>
          <w:lang w:val="es-ES"/>
        </w:rPr>
      </w:pPr>
    </w:p>
    <w:p w:rsidR="009D262C" w:rsidRDefault="009D262C" w:rsidP="009D262C">
      <w:pPr>
        <w:spacing w:after="160" w:line="360" w:lineRule="auto"/>
        <w:jc w:val="both"/>
        <w:rPr>
          <w:rFonts w:ascii="Arial" w:eastAsiaTheme="minorHAnsi" w:hAnsi="Arial" w:cs="Arial"/>
          <w:sz w:val="24"/>
          <w:szCs w:val="24"/>
          <w:lang w:val="es-ES"/>
        </w:rPr>
      </w:pPr>
    </w:p>
    <w:p w:rsidR="009D262C" w:rsidRDefault="009D262C" w:rsidP="009D262C">
      <w:pPr>
        <w:spacing w:after="160" w:line="360" w:lineRule="auto"/>
        <w:jc w:val="both"/>
        <w:rPr>
          <w:rFonts w:ascii="Arial" w:eastAsiaTheme="minorHAnsi" w:hAnsi="Arial" w:cs="Arial"/>
          <w:sz w:val="24"/>
          <w:szCs w:val="24"/>
          <w:lang w:val="es-ES"/>
        </w:rPr>
      </w:pPr>
    </w:p>
    <w:p w:rsidR="009D262C" w:rsidRPr="009D262C" w:rsidRDefault="009D262C" w:rsidP="009D262C">
      <w:pPr>
        <w:spacing w:after="160" w:line="360" w:lineRule="auto"/>
        <w:jc w:val="both"/>
        <w:rPr>
          <w:rFonts w:ascii="Arial" w:eastAsiaTheme="minorHAnsi" w:hAnsi="Arial" w:cs="Arial"/>
          <w:sz w:val="24"/>
          <w:szCs w:val="24"/>
          <w:lang w:val="es-ES"/>
        </w:rPr>
      </w:pPr>
    </w:p>
    <w:p w:rsidR="009D262C" w:rsidRPr="009D262C" w:rsidRDefault="009D262C" w:rsidP="009D262C">
      <w:pPr>
        <w:spacing w:after="160" w:line="360" w:lineRule="auto"/>
        <w:jc w:val="both"/>
        <w:rPr>
          <w:rFonts w:ascii="Arial" w:eastAsiaTheme="minorHAnsi" w:hAnsi="Arial" w:cs="Arial"/>
          <w:b/>
          <w:sz w:val="24"/>
          <w:szCs w:val="24"/>
        </w:rPr>
      </w:pPr>
      <w:r w:rsidRPr="009D262C">
        <w:rPr>
          <w:rFonts w:ascii="Arial" w:eastAsiaTheme="minorHAnsi" w:hAnsi="Arial" w:cs="Arial"/>
          <w:b/>
          <w:sz w:val="24"/>
          <w:szCs w:val="24"/>
        </w:rPr>
        <w:lastRenderedPageBreak/>
        <w:t>Salud Digital en Aconcagua</w:t>
      </w:r>
    </w:p>
    <w:p w:rsidR="009D262C" w:rsidRPr="009D262C" w:rsidRDefault="009D262C" w:rsidP="009D262C">
      <w:pPr>
        <w:spacing w:after="160" w:line="360" w:lineRule="auto"/>
        <w:jc w:val="both"/>
        <w:rPr>
          <w:rFonts w:ascii="Arial" w:eastAsiaTheme="minorHAnsi" w:hAnsi="Arial" w:cs="Arial"/>
          <w:sz w:val="24"/>
          <w:szCs w:val="24"/>
        </w:rPr>
      </w:pPr>
      <w:r w:rsidRPr="009D262C">
        <w:rPr>
          <w:rFonts w:ascii="Arial" w:eastAsiaTheme="minorHAnsi" w:hAnsi="Arial" w:cs="Arial"/>
          <w:sz w:val="24"/>
          <w:szCs w:val="24"/>
        </w:rPr>
        <w:t xml:space="preserve">Se realizaron 6.948 atenciones de telemedicina en modalidad sincrónica de especialidad en el nivel secundario, estas especialidades logrando </w:t>
      </w:r>
      <w:proofErr w:type="spellStart"/>
      <w:r w:rsidRPr="009D262C">
        <w:rPr>
          <w:rFonts w:ascii="Arial" w:eastAsiaTheme="minorHAnsi" w:hAnsi="Arial" w:cs="Arial"/>
          <w:sz w:val="24"/>
          <w:szCs w:val="24"/>
        </w:rPr>
        <w:t>disponibilizar</w:t>
      </w:r>
      <w:proofErr w:type="spellEnd"/>
      <w:r w:rsidRPr="009D262C">
        <w:rPr>
          <w:rFonts w:ascii="Arial" w:eastAsiaTheme="minorHAnsi" w:hAnsi="Arial" w:cs="Arial"/>
          <w:sz w:val="24"/>
          <w:szCs w:val="24"/>
        </w:rPr>
        <w:t xml:space="preserve"> en la red una modalidad de atención a nuestros usuarios sin precedentes.  Se aportaron a través del Hospital Digital  se realizaron 1244 atenciones de medicina interna contribuyendo a disminuir la Lista de Espera no GES para esta especialidad.</w:t>
      </w:r>
    </w:p>
    <w:p w:rsidR="009D262C" w:rsidRPr="009D262C" w:rsidRDefault="009D262C" w:rsidP="009D262C">
      <w:pPr>
        <w:spacing w:after="160" w:line="360" w:lineRule="auto"/>
        <w:jc w:val="both"/>
        <w:rPr>
          <w:rFonts w:ascii="Arial" w:eastAsiaTheme="minorHAnsi" w:hAnsi="Arial" w:cs="Arial"/>
          <w:sz w:val="24"/>
          <w:szCs w:val="24"/>
        </w:rPr>
      </w:pPr>
      <w:r w:rsidRPr="009D262C">
        <w:rPr>
          <w:rFonts w:ascii="Arial" w:eastAsiaTheme="minorHAnsi" w:hAnsi="Arial" w:cs="Arial"/>
          <w:sz w:val="24"/>
          <w:szCs w:val="24"/>
        </w:rPr>
        <w:t xml:space="preserve">En cuanto a la atención asincrónica en la Red de APS, se realizaron 593 atenciones de diversas especialidades médicas y 62 atenciones asincrónicas de especialidad odontológica de Patología Oral, contribuyendo a acercar la atención de especialista a los CESFAM </w:t>
      </w:r>
    </w:p>
    <w:p w:rsidR="009D262C" w:rsidRPr="009D262C" w:rsidRDefault="009D262C" w:rsidP="009D262C">
      <w:pPr>
        <w:spacing w:after="160" w:line="360" w:lineRule="auto"/>
        <w:jc w:val="both"/>
        <w:rPr>
          <w:rFonts w:ascii="Arial" w:eastAsiaTheme="minorHAnsi" w:hAnsi="Arial" w:cs="Arial"/>
          <w:sz w:val="24"/>
          <w:szCs w:val="24"/>
        </w:rPr>
      </w:pPr>
      <w:r w:rsidRPr="009D262C">
        <w:rPr>
          <w:rFonts w:ascii="Arial" w:eastAsiaTheme="minorHAnsi" w:hAnsi="Arial" w:cs="Arial"/>
          <w:sz w:val="24"/>
          <w:szCs w:val="24"/>
        </w:rPr>
        <w:t>Respecto a la Estrategia Hospital Digital Rural que brinda atención médica en postas de salud rural (PSR) a través de Hospital Digital, durante el año 2021 se sumaron las PSR de San Vicente de Calle Larga, SUR y CECOSF de Catemu se han realizado 38 de estas atenciones.</w:t>
      </w:r>
    </w:p>
    <w:p w:rsidR="009D262C" w:rsidRPr="009D262C" w:rsidRDefault="009D262C" w:rsidP="009D262C">
      <w:pPr>
        <w:spacing w:after="160" w:line="360" w:lineRule="auto"/>
        <w:jc w:val="both"/>
        <w:rPr>
          <w:rFonts w:ascii="Arial" w:eastAsiaTheme="minorHAnsi" w:hAnsi="Arial" w:cs="Arial"/>
          <w:sz w:val="24"/>
          <w:szCs w:val="24"/>
        </w:rPr>
      </w:pPr>
      <w:r w:rsidRPr="009D262C">
        <w:rPr>
          <w:rFonts w:ascii="Arial" w:eastAsiaTheme="minorHAnsi" w:hAnsi="Arial" w:cs="Arial"/>
          <w:sz w:val="24"/>
          <w:szCs w:val="24"/>
        </w:rPr>
        <w:t xml:space="preserve">En cuanto al acceso a </w:t>
      </w:r>
      <w:proofErr w:type="spellStart"/>
      <w:r w:rsidRPr="009D262C">
        <w:rPr>
          <w:rFonts w:ascii="Arial" w:eastAsiaTheme="minorHAnsi" w:hAnsi="Arial" w:cs="Arial"/>
          <w:sz w:val="24"/>
          <w:szCs w:val="24"/>
        </w:rPr>
        <w:t>teleinformes</w:t>
      </w:r>
      <w:proofErr w:type="spellEnd"/>
      <w:r w:rsidRPr="009D262C">
        <w:rPr>
          <w:rFonts w:ascii="Arial" w:eastAsiaTheme="minorHAnsi" w:hAnsi="Arial" w:cs="Arial"/>
          <w:sz w:val="24"/>
          <w:szCs w:val="24"/>
        </w:rPr>
        <w:t xml:space="preserve">, se realizaron 5.746 informes de mamografía correspondientes a los 3 </w:t>
      </w:r>
      <w:proofErr w:type="spellStart"/>
      <w:r w:rsidRPr="009D262C">
        <w:rPr>
          <w:rFonts w:ascii="Arial" w:eastAsiaTheme="minorHAnsi" w:hAnsi="Arial" w:cs="Arial"/>
          <w:sz w:val="24"/>
          <w:szCs w:val="24"/>
        </w:rPr>
        <w:t>mamógrafos</w:t>
      </w:r>
      <w:proofErr w:type="spellEnd"/>
      <w:r w:rsidRPr="009D262C">
        <w:rPr>
          <w:rFonts w:ascii="Arial" w:eastAsiaTheme="minorHAnsi" w:hAnsi="Arial" w:cs="Arial"/>
          <w:sz w:val="24"/>
          <w:szCs w:val="24"/>
        </w:rPr>
        <w:t xml:space="preserve"> existentes en Aconcagua, 1.160 informes de TAC y 4.225 informes de </w:t>
      </w:r>
      <w:proofErr w:type="spellStart"/>
      <w:r w:rsidRPr="009D262C">
        <w:rPr>
          <w:rFonts w:ascii="Arial" w:eastAsiaTheme="minorHAnsi" w:hAnsi="Arial" w:cs="Arial"/>
          <w:sz w:val="24"/>
          <w:szCs w:val="24"/>
        </w:rPr>
        <w:t>teleoftalmología</w:t>
      </w:r>
      <w:proofErr w:type="spellEnd"/>
      <w:r w:rsidRPr="009D262C">
        <w:rPr>
          <w:rFonts w:ascii="Arial" w:eastAsiaTheme="minorHAnsi" w:hAnsi="Arial" w:cs="Arial"/>
          <w:sz w:val="24"/>
          <w:szCs w:val="24"/>
        </w:rPr>
        <w:t>.</w:t>
      </w:r>
    </w:p>
    <w:p w:rsidR="009D262C" w:rsidRPr="009D262C" w:rsidRDefault="009D262C" w:rsidP="009D262C">
      <w:pPr>
        <w:spacing w:after="160" w:line="360" w:lineRule="auto"/>
        <w:jc w:val="both"/>
        <w:rPr>
          <w:rFonts w:ascii="Arial" w:eastAsiaTheme="minorHAnsi" w:hAnsi="Arial" w:cs="Arial"/>
          <w:b/>
          <w:sz w:val="24"/>
          <w:szCs w:val="24"/>
        </w:rPr>
      </w:pPr>
      <w:r w:rsidRPr="009D262C">
        <w:rPr>
          <w:rFonts w:ascii="Arial" w:eastAsiaTheme="minorHAnsi" w:hAnsi="Arial" w:cs="Arial"/>
          <w:b/>
          <w:sz w:val="24"/>
          <w:szCs w:val="24"/>
        </w:rPr>
        <w:t>Atención Oncológica</w:t>
      </w:r>
    </w:p>
    <w:p w:rsidR="009D262C" w:rsidRPr="009D262C" w:rsidRDefault="009D262C" w:rsidP="009D262C">
      <w:pPr>
        <w:spacing w:after="160" w:line="360" w:lineRule="auto"/>
        <w:jc w:val="both"/>
        <w:rPr>
          <w:rFonts w:ascii="Arial" w:eastAsiaTheme="minorHAnsi" w:hAnsi="Arial" w:cs="Arial"/>
          <w:sz w:val="24"/>
          <w:szCs w:val="24"/>
        </w:rPr>
      </w:pPr>
      <w:r w:rsidRPr="009D262C">
        <w:rPr>
          <w:rFonts w:ascii="Arial" w:eastAsiaTheme="minorHAnsi" w:hAnsi="Arial" w:cs="Arial"/>
          <w:sz w:val="24"/>
          <w:szCs w:val="24"/>
        </w:rPr>
        <w:t xml:space="preserve">El Plan Nacional de Cáncer impulsado por el Ministerio de Salud, nos ha llevado a enfatizar en la ampliación de prestaciones de diagnóstico, tratamiento y seguimiento de nuestros pacientes y marcar una ruta de desarrollo que nos permita ampliar nuestras carteras de prestaciones. </w:t>
      </w:r>
    </w:p>
    <w:p w:rsidR="009D262C" w:rsidRPr="009D262C" w:rsidRDefault="009D262C" w:rsidP="009D262C">
      <w:pPr>
        <w:spacing w:after="160" w:line="360" w:lineRule="auto"/>
        <w:jc w:val="both"/>
        <w:rPr>
          <w:rFonts w:ascii="Arial" w:eastAsiaTheme="minorHAnsi" w:hAnsi="Arial" w:cs="Arial"/>
          <w:sz w:val="24"/>
          <w:szCs w:val="24"/>
        </w:rPr>
      </w:pPr>
      <w:r w:rsidRPr="009D262C">
        <w:rPr>
          <w:rFonts w:ascii="Arial" w:eastAsiaTheme="minorHAnsi" w:hAnsi="Arial" w:cs="Arial"/>
          <w:sz w:val="24"/>
          <w:szCs w:val="24"/>
        </w:rPr>
        <w:t xml:space="preserve">Dentro del desarrollo oncológico de la red a fines del 2021 se comienza a proyectarse la implementación en el Hospital San Camilo de San Felipe de un Unidad Hematooncológico H1, que será un centro que realizará diagnóstico y </w:t>
      </w:r>
      <w:proofErr w:type="spellStart"/>
      <w:r w:rsidRPr="009D262C">
        <w:rPr>
          <w:rFonts w:ascii="Arial" w:eastAsiaTheme="minorHAnsi" w:hAnsi="Arial" w:cs="Arial"/>
          <w:sz w:val="24"/>
          <w:szCs w:val="24"/>
        </w:rPr>
        <w:t>etapificación</w:t>
      </w:r>
      <w:proofErr w:type="spellEnd"/>
      <w:r w:rsidRPr="009D262C">
        <w:rPr>
          <w:rFonts w:ascii="Arial" w:eastAsiaTheme="minorHAnsi" w:hAnsi="Arial" w:cs="Arial"/>
          <w:sz w:val="24"/>
          <w:szCs w:val="24"/>
        </w:rPr>
        <w:t xml:space="preserve"> de patologías oncológicas de agresividad baja o intermedia, tratamiento de patología con Quimioterapia oral o paliativa y seguimiento una vez finalizado el tratamiento. </w:t>
      </w:r>
    </w:p>
    <w:p w:rsidR="009D262C" w:rsidRDefault="009D262C" w:rsidP="009D262C">
      <w:pPr>
        <w:spacing w:after="160" w:line="360" w:lineRule="auto"/>
        <w:jc w:val="both"/>
        <w:rPr>
          <w:rFonts w:ascii="Arial" w:eastAsiaTheme="minorHAnsi" w:hAnsi="Arial" w:cs="Arial"/>
          <w:sz w:val="24"/>
          <w:szCs w:val="24"/>
        </w:rPr>
      </w:pPr>
      <w:r>
        <w:rPr>
          <w:rFonts w:ascii="Arial" w:eastAsiaTheme="minorHAnsi" w:hAnsi="Arial" w:cs="Arial"/>
          <w:sz w:val="24"/>
          <w:szCs w:val="24"/>
        </w:rPr>
        <w:lastRenderedPageBreak/>
        <w:t>Departamento de Gestión en Red</w:t>
      </w:r>
    </w:p>
    <w:p w:rsidR="009D262C" w:rsidRPr="009D262C" w:rsidRDefault="009D262C" w:rsidP="009D262C">
      <w:pPr>
        <w:spacing w:after="160" w:line="360" w:lineRule="auto"/>
        <w:jc w:val="both"/>
        <w:rPr>
          <w:rFonts w:ascii="Arial" w:eastAsiaTheme="minorHAnsi" w:hAnsi="Arial" w:cs="Arial"/>
          <w:sz w:val="24"/>
          <w:szCs w:val="24"/>
        </w:rPr>
      </w:pPr>
      <w:r w:rsidRPr="009D262C">
        <w:rPr>
          <w:rFonts w:ascii="Arial" w:eastAsiaTheme="minorHAnsi" w:hAnsi="Arial" w:cs="Arial"/>
          <w:sz w:val="24"/>
          <w:szCs w:val="24"/>
        </w:rPr>
        <w:t>A pesar de la pandemia del COVID-19 y las restricciones que trajo consigo para el abordaje de otras actividades asistenciales, se trabajó en conjunto con el Ministerio de Educación en la creación de las Aulas Hospitalarias dando acceso a la educación a niños y adultos menores de 21 años, durante su hospitalización o bien que presenten patologías crónicas que hayan impedido su formación, entregando esta prestación en HOSCA, HLL y HPP.</w:t>
      </w:r>
    </w:p>
    <w:p w:rsidR="009D262C" w:rsidRPr="009D262C" w:rsidRDefault="009D262C" w:rsidP="009D262C">
      <w:pPr>
        <w:spacing w:after="160" w:line="360" w:lineRule="auto"/>
        <w:jc w:val="both"/>
        <w:rPr>
          <w:rFonts w:ascii="Arial" w:eastAsiaTheme="minorHAnsi" w:hAnsi="Arial" w:cs="Arial"/>
          <w:sz w:val="24"/>
          <w:szCs w:val="24"/>
        </w:rPr>
      </w:pPr>
      <w:r w:rsidRPr="009D262C">
        <w:rPr>
          <w:rFonts w:ascii="Arial" w:eastAsiaTheme="minorHAnsi" w:hAnsi="Arial" w:cs="Arial"/>
          <w:sz w:val="24"/>
          <w:szCs w:val="24"/>
        </w:rPr>
        <w:t>Se realizó evaluación y acreditación de la estrategia Hospital Amigo en los 5 hospitales de la red, modificando la modalidad de visita presencial por entrega de información vía telemática a familiares en los momentos más críticos de la pandemia.</w:t>
      </w:r>
    </w:p>
    <w:p w:rsidR="009D262C" w:rsidRPr="009D262C" w:rsidRDefault="009D262C" w:rsidP="009D262C">
      <w:pPr>
        <w:spacing w:after="160" w:line="360" w:lineRule="auto"/>
        <w:jc w:val="both"/>
        <w:rPr>
          <w:rFonts w:ascii="Arial" w:eastAsiaTheme="minorHAnsi" w:hAnsi="Arial" w:cs="Arial"/>
          <w:sz w:val="24"/>
          <w:szCs w:val="24"/>
        </w:rPr>
      </w:pPr>
      <w:r w:rsidRPr="009D262C">
        <w:rPr>
          <w:rFonts w:ascii="Arial" w:eastAsiaTheme="minorHAnsi" w:hAnsi="Arial" w:cs="Arial"/>
          <w:sz w:val="24"/>
          <w:szCs w:val="24"/>
        </w:rPr>
        <w:t>En el ámbito de farmacia se incorporaron nuevas prestaciones de alto costo asociadas a la ley Ricarte Soto, como Nutrición Enteral Domiciliaria, Enfermedad de Crohn y Colitis Ulcerosa,  para todos quienes resulten beneficiarios sin la necesidad de que los pacientes se trasladen a otros servicios de salud de la quinta región.</w:t>
      </w:r>
    </w:p>
    <w:p w:rsidR="009D262C" w:rsidRPr="009D262C" w:rsidRDefault="009D262C" w:rsidP="009D262C">
      <w:pPr>
        <w:spacing w:after="160" w:line="360" w:lineRule="auto"/>
        <w:jc w:val="both"/>
        <w:rPr>
          <w:rFonts w:ascii="Arial" w:eastAsiaTheme="minorHAnsi" w:hAnsi="Arial" w:cs="Arial"/>
          <w:sz w:val="24"/>
          <w:szCs w:val="24"/>
        </w:rPr>
      </w:pPr>
      <w:r w:rsidRPr="009D262C">
        <w:rPr>
          <w:rFonts w:ascii="Arial" w:eastAsiaTheme="minorHAnsi" w:hAnsi="Arial" w:cs="Arial"/>
          <w:sz w:val="24"/>
          <w:szCs w:val="24"/>
        </w:rPr>
        <w:t>Se trabajó en la elaboración del proyecto de reposición TAC del HOSLA de forma exitosa contando con un equipo de alta gama de 32 canales en dicho establecimiento.</w:t>
      </w:r>
    </w:p>
    <w:p w:rsidR="009D262C" w:rsidRPr="009D262C" w:rsidRDefault="009D262C" w:rsidP="009D262C">
      <w:pPr>
        <w:spacing w:after="160" w:line="360" w:lineRule="auto"/>
        <w:jc w:val="both"/>
        <w:rPr>
          <w:rFonts w:ascii="Arial" w:eastAsiaTheme="minorHAnsi" w:hAnsi="Arial" w:cs="Arial"/>
          <w:sz w:val="24"/>
          <w:szCs w:val="24"/>
        </w:rPr>
      </w:pPr>
      <w:r w:rsidRPr="009D262C">
        <w:rPr>
          <w:rFonts w:ascii="Arial" w:eastAsiaTheme="minorHAnsi" w:hAnsi="Arial" w:cs="Arial"/>
          <w:sz w:val="24"/>
          <w:szCs w:val="24"/>
        </w:rPr>
        <w:t>Consolidación de los laboratorios de Biología Molecular en los hospitales de mayor complejidad y la instalación del diagnóstico de COVID-19 en todos los establecimientos de APS.</w:t>
      </w:r>
    </w:p>
    <w:p w:rsidR="009D262C" w:rsidRPr="009D262C" w:rsidRDefault="009D262C" w:rsidP="009D262C">
      <w:pPr>
        <w:spacing w:after="160" w:line="360" w:lineRule="auto"/>
        <w:jc w:val="both"/>
        <w:rPr>
          <w:rFonts w:ascii="Arial" w:eastAsiaTheme="minorHAnsi" w:hAnsi="Arial" w:cs="Arial"/>
          <w:sz w:val="24"/>
          <w:szCs w:val="24"/>
        </w:rPr>
      </w:pPr>
      <w:r w:rsidRPr="009D262C">
        <w:rPr>
          <w:rFonts w:ascii="Arial" w:eastAsiaTheme="minorHAnsi" w:hAnsi="Arial" w:cs="Arial"/>
          <w:sz w:val="24"/>
          <w:szCs w:val="24"/>
        </w:rPr>
        <w:t xml:space="preserve">A través de proyectos financiados por el Gobierno Regional se lograron reponer 40 equipos clínicos por un monto total de $320 millones de pesos. </w:t>
      </w:r>
    </w:p>
    <w:p w:rsidR="009D262C" w:rsidRDefault="009D262C" w:rsidP="009D262C">
      <w:pPr>
        <w:spacing w:after="160" w:line="360" w:lineRule="auto"/>
        <w:jc w:val="both"/>
        <w:rPr>
          <w:rFonts w:ascii="Arial" w:eastAsiaTheme="minorHAnsi" w:hAnsi="Arial" w:cs="Arial"/>
          <w:sz w:val="24"/>
          <w:szCs w:val="24"/>
        </w:rPr>
      </w:pPr>
      <w:r w:rsidRPr="009D262C">
        <w:rPr>
          <w:rFonts w:ascii="Arial" w:eastAsiaTheme="minorHAnsi" w:hAnsi="Arial" w:cs="Arial"/>
          <w:sz w:val="24"/>
          <w:szCs w:val="24"/>
        </w:rPr>
        <w:t xml:space="preserve">Se continuó trabajando en el proyecto de Normalización del Hospital San Camilo de San Felipe (EPH) el cual posee un 90% de avance. </w:t>
      </w:r>
    </w:p>
    <w:p w:rsidR="009D262C" w:rsidRDefault="009D262C" w:rsidP="009D262C">
      <w:pPr>
        <w:spacing w:after="160" w:line="360" w:lineRule="auto"/>
        <w:jc w:val="both"/>
        <w:rPr>
          <w:rFonts w:ascii="Arial" w:eastAsiaTheme="minorHAnsi" w:hAnsi="Arial" w:cs="Arial"/>
          <w:b/>
          <w:sz w:val="24"/>
          <w:szCs w:val="24"/>
          <w:u w:val="single"/>
        </w:rPr>
      </w:pPr>
    </w:p>
    <w:p w:rsidR="009D262C" w:rsidRDefault="009D262C" w:rsidP="009D262C">
      <w:pPr>
        <w:spacing w:after="160" w:line="360" w:lineRule="auto"/>
        <w:jc w:val="both"/>
        <w:rPr>
          <w:rFonts w:ascii="Arial" w:eastAsiaTheme="minorHAnsi" w:hAnsi="Arial" w:cs="Arial"/>
          <w:b/>
          <w:sz w:val="24"/>
          <w:szCs w:val="24"/>
          <w:u w:val="single"/>
        </w:rPr>
      </w:pPr>
    </w:p>
    <w:p w:rsidR="009D262C" w:rsidRPr="009D262C" w:rsidRDefault="009D262C" w:rsidP="009D262C">
      <w:pPr>
        <w:spacing w:after="160" w:line="360" w:lineRule="auto"/>
        <w:jc w:val="both"/>
        <w:rPr>
          <w:rFonts w:ascii="Arial" w:eastAsiaTheme="minorHAnsi" w:hAnsi="Arial" w:cs="Arial"/>
          <w:b/>
          <w:sz w:val="24"/>
          <w:szCs w:val="24"/>
          <w:u w:val="single"/>
        </w:rPr>
      </w:pPr>
      <w:r w:rsidRPr="009D262C">
        <w:rPr>
          <w:rFonts w:ascii="Arial" w:eastAsiaTheme="minorHAnsi" w:hAnsi="Arial" w:cs="Arial"/>
          <w:b/>
          <w:sz w:val="24"/>
          <w:szCs w:val="24"/>
          <w:u w:val="single"/>
        </w:rPr>
        <w:lastRenderedPageBreak/>
        <w:t>Inversiones</w:t>
      </w:r>
    </w:p>
    <w:p w:rsidR="009D262C" w:rsidRPr="009D262C" w:rsidRDefault="009D262C" w:rsidP="009D262C">
      <w:pPr>
        <w:spacing w:after="160" w:line="360" w:lineRule="auto"/>
        <w:jc w:val="both"/>
        <w:rPr>
          <w:rFonts w:ascii="Arial" w:eastAsiaTheme="minorHAnsi" w:hAnsi="Arial" w:cs="Arial"/>
          <w:sz w:val="24"/>
          <w:szCs w:val="24"/>
        </w:rPr>
      </w:pPr>
      <w:r w:rsidRPr="009D262C">
        <w:rPr>
          <w:rFonts w:ascii="Arial" w:eastAsiaTheme="minorHAnsi" w:hAnsi="Arial" w:cs="Arial"/>
          <w:sz w:val="24"/>
          <w:szCs w:val="24"/>
        </w:rPr>
        <w:t>Durante el 2021, cumplimos con uno de los objetivos principales de nuestra cartera de inversiones, como es terminar la obra física del Hospital Philippe Pinel de Putaendo, lo que representa una mejora enorme en cuanto a las condiciones para los usuarios y funcionarios. Esta inversión, de más de 37.000 millones de pesos, permite terminar un trabajo que empezó el año 2013 y que hoy es una realidad.</w:t>
      </w:r>
    </w:p>
    <w:p w:rsidR="009D262C" w:rsidRPr="009D262C" w:rsidRDefault="009D262C" w:rsidP="009D262C">
      <w:pPr>
        <w:spacing w:after="160" w:line="360" w:lineRule="auto"/>
        <w:jc w:val="both"/>
        <w:rPr>
          <w:rFonts w:ascii="Arial" w:eastAsiaTheme="minorHAnsi" w:hAnsi="Arial" w:cs="Arial"/>
          <w:sz w:val="24"/>
          <w:szCs w:val="24"/>
        </w:rPr>
      </w:pPr>
      <w:r w:rsidRPr="009D262C">
        <w:rPr>
          <w:rFonts w:ascii="Arial" w:eastAsiaTheme="minorHAnsi" w:hAnsi="Arial" w:cs="Arial"/>
          <w:sz w:val="24"/>
          <w:szCs w:val="24"/>
        </w:rPr>
        <w:t xml:space="preserve">Iniciamos las obras de los nuevos CESFAM de San Esteban y Rinconada, los que son parte del convenio de programación GORE – MINSAL y que permitirán que a mediados del 2023 estas comunas cuenten con un establecimiento moderno y con condiciones adecuadas para la atención de la comunidad. Ambas inversiones superan los 3.000 millones de pesos. Además seguimos trabajando en el desarrollo de los proyectos de nuevos CESFAM para Curimón y Putaendo, así como las postas para Catemu, Llay </w:t>
      </w:r>
      <w:proofErr w:type="spellStart"/>
      <w:r w:rsidRPr="009D262C">
        <w:rPr>
          <w:rFonts w:ascii="Arial" w:eastAsiaTheme="minorHAnsi" w:hAnsi="Arial" w:cs="Arial"/>
          <w:sz w:val="24"/>
          <w:szCs w:val="24"/>
        </w:rPr>
        <w:t>Llay</w:t>
      </w:r>
      <w:proofErr w:type="spellEnd"/>
      <w:r w:rsidRPr="009D262C">
        <w:rPr>
          <w:rFonts w:ascii="Arial" w:eastAsiaTheme="minorHAnsi" w:hAnsi="Arial" w:cs="Arial"/>
          <w:sz w:val="24"/>
          <w:szCs w:val="24"/>
        </w:rPr>
        <w:t xml:space="preserve"> y Los Andes, las que esperamos se concreten dentro de los próximos años.</w:t>
      </w:r>
    </w:p>
    <w:p w:rsidR="009D262C" w:rsidRPr="009D262C" w:rsidRDefault="009D262C" w:rsidP="009D262C">
      <w:pPr>
        <w:spacing w:after="160" w:line="360" w:lineRule="auto"/>
        <w:jc w:val="both"/>
        <w:rPr>
          <w:rFonts w:ascii="Arial" w:eastAsiaTheme="minorHAnsi" w:hAnsi="Arial" w:cs="Arial"/>
          <w:sz w:val="24"/>
          <w:szCs w:val="24"/>
        </w:rPr>
      </w:pPr>
      <w:r w:rsidRPr="009D262C">
        <w:rPr>
          <w:rFonts w:ascii="Arial" w:eastAsiaTheme="minorHAnsi" w:hAnsi="Arial" w:cs="Arial"/>
          <w:sz w:val="24"/>
          <w:szCs w:val="24"/>
        </w:rPr>
        <w:t xml:space="preserve">Cumplimos el compromiso con la comunidad Calle Larga, donde gracias a una inversión del Ministerio de Salud por $120 millones, los vecinos de San Vicente cuentan con una nueva posta, lo que sin dudas es una acción de equidad hacia este sector. </w:t>
      </w:r>
    </w:p>
    <w:p w:rsidR="009D262C" w:rsidRPr="009D262C" w:rsidRDefault="009D262C" w:rsidP="009D262C">
      <w:pPr>
        <w:spacing w:after="160" w:line="360" w:lineRule="auto"/>
        <w:jc w:val="both"/>
        <w:rPr>
          <w:rFonts w:ascii="Arial" w:eastAsiaTheme="minorHAnsi" w:hAnsi="Arial" w:cs="Arial"/>
          <w:sz w:val="24"/>
          <w:szCs w:val="24"/>
        </w:rPr>
      </w:pPr>
      <w:r w:rsidRPr="009D262C">
        <w:rPr>
          <w:rFonts w:ascii="Arial" w:eastAsiaTheme="minorHAnsi" w:hAnsi="Arial" w:cs="Arial"/>
          <w:sz w:val="24"/>
          <w:szCs w:val="24"/>
        </w:rPr>
        <w:t>Pusimos en marcha el Servicio de Urgencia de Alta Resolutividad de Los Andes, el que recibimos con un 6% de avance y que entregamos terminado y habilitado para la comunidad, gracias a una inversión del Ministerio de Salud de más de 1.000 millones entre infraestructura y equipamiento.</w:t>
      </w:r>
    </w:p>
    <w:p w:rsidR="009D262C" w:rsidRDefault="009D262C" w:rsidP="009D262C">
      <w:pPr>
        <w:spacing w:after="160" w:line="360" w:lineRule="auto"/>
        <w:jc w:val="both"/>
        <w:rPr>
          <w:rFonts w:ascii="Arial" w:eastAsiaTheme="minorHAnsi" w:hAnsi="Arial" w:cs="Arial"/>
          <w:sz w:val="24"/>
          <w:szCs w:val="24"/>
        </w:rPr>
      </w:pPr>
      <w:r w:rsidRPr="009D262C">
        <w:rPr>
          <w:rFonts w:ascii="Arial" w:eastAsiaTheme="minorHAnsi" w:hAnsi="Arial" w:cs="Arial"/>
          <w:sz w:val="24"/>
          <w:szCs w:val="24"/>
        </w:rPr>
        <w:t xml:space="preserve">En el ámbito hospitalario, nuestro servicio de salud recibió una inversión histórica de más de $12.000 millones en equipamiento, lo que permitió que tanto el Hospital San Camilo como el Hospital San Juan de Dios renovaran implementación que hace largo tiempo había terminado su vida útil. Junto a ello, cumplimos el compromiso adquirido hace muchos años y que significa un hecho histórico para la red, como es contar con un resonador magnético en el Hospital San Camilo, el que significó una inversión cercana a los $2.000 millones y dotar al Hospital de Los Andes de un </w:t>
      </w:r>
      <w:r w:rsidRPr="009D262C">
        <w:rPr>
          <w:rFonts w:ascii="Arial" w:eastAsiaTheme="minorHAnsi" w:hAnsi="Arial" w:cs="Arial"/>
          <w:sz w:val="24"/>
          <w:szCs w:val="24"/>
        </w:rPr>
        <w:lastRenderedPageBreak/>
        <w:t>nuevo Scanner, que ya está en funcionamiento, mejorando las condiciones de atención para toda la comunidad.</w:t>
      </w:r>
    </w:p>
    <w:p w:rsidR="000A4F90" w:rsidRPr="000A4F90" w:rsidRDefault="000A4F90" w:rsidP="009D262C">
      <w:pPr>
        <w:spacing w:after="160" w:line="360" w:lineRule="auto"/>
        <w:jc w:val="both"/>
        <w:rPr>
          <w:rFonts w:ascii="Arial" w:eastAsiaTheme="minorHAnsi" w:hAnsi="Arial" w:cs="Arial"/>
          <w:sz w:val="24"/>
          <w:szCs w:val="24"/>
          <w:u w:val="single"/>
        </w:rPr>
      </w:pPr>
      <w:r w:rsidRPr="000A4F90">
        <w:rPr>
          <w:rFonts w:ascii="Arial" w:eastAsiaTheme="minorHAnsi" w:hAnsi="Arial" w:cs="Arial"/>
          <w:sz w:val="24"/>
          <w:szCs w:val="24"/>
          <w:u w:val="single"/>
        </w:rPr>
        <w:t>Capacitación</w:t>
      </w:r>
    </w:p>
    <w:p w:rsidR="000A4F90" w:rsidRPr="000A4F90" w:rsidRDefault="000A4F90" w:rsidP="000A4F90">
      <w:pPr>
        <w:pStyle w:val="NormalWeb"/>
        <w:spacing w:before="0" w:beforeAutospacing="0" w:after="0" w:afterAutospacing="0" w:line="480" w:lineRule="auto"/>
        <w:jc w:val="both"/>
        <w:textAlignment w:val="baseline"/>
        <w:rPr>
          <w:rFonts w:ascii="Arial" w:hAnsi="Arial" w:cs="Arial"/>
          <w:color w:val="000000" w:themeColor="text1"/>
        </w:rPr>
      </w:pPr>
      <w:r w:rsidRPr="000A4F90">
        <w:rPr>
          <w:rFonts w:ascii="Arial" w:eastAsia="ヒラギノ角ゴ Pro W3" w:hAnsi="Arial" w:cs="Arial"/>
          <w:color w:val="000000" w:themeColor="text1"/>
          <w:kern w:val="24"/>
          <w:lang w:val="es-MX"/>
        </w:rPr>
        <w:t>La Capacitación Funcionaria se desarrolló durante el año 2021 considerando el contexto de la actual pandemia por COVID 19, lo que implicó priorizar actividades para apoyar al personal en adquirir competencias en los aspectos técnicos del manejo de la pandemia, así como contribuir a mejorar la salud mental de los funcionarios y la prevención y control de riesgos psicosociales, producto de los altos niveles de estrés y agotamiento de los equipos de salud debido a la pandemia.</w:t>
      </w:r>
    </w:p>
    <w:p w:rsidR="000A4F90" w:rsidRDefault="000A4F90" w:rsidP="000A4F90">
      <w:pPr>
        <w:pStyle w:val="NormalWeb"/>
        <w:spacing w:before="0" w:beforeAutospacing="0" w:after="0" w:afterAutospacing="0" w:line="480" w:lineRule="auto"/>
        <w:jc w:val="both"/>
        <w:textAlignment w:val="baseline"/>
        <w:rPr>
          <w:rFonts w:ascii="Arial" w:eastAsia="ヒラギノ角ゴ Pro W3" w:hAnsi="Arial" w:cs="Arial"/>
          <w:color w:val="000000" w:themeColor="text1"/>
          <w:kern w:val="24"/>
          <w:lang w:val="es-MX"/>
        </w:rPr>
      </w:pPr>
      <w:r w:rsidRPr="000A4F90">
        <w:rPr>
          <w:rFonts w:ascii="Arial" w:eastAsia="ヒラギノ角ゴ Pro W3" w:hAnsi="Arial" w:cs="Arial"/>
          <w:color w:val="000000" w:themeColor="text1"/>
          <w:kern w:val="24"/>
          <w:lang w:val="es-MX"/>
        </w:rPr>
        <w:t>Además, el área de capacitación cambió la modalidad tradicional de cursos presenciales a metodologías virtuales en el 90% de las actividades, de manera de realizar la capacitación sin riesgos de contagio. Se destaca la iniciativa de implementación de una plataforma E-</w:t>
      </w:r>
      <w:proofErr w:type="spellStart"/>
      <w:r w:rsidRPr="000A4F90">
        <w:rPr>
          <w:rFonts w:ascii="Arial" w:eastAsia="ヒラギノ角ゴ Pro W3" w:hAnsi="Arial" w:cs="Arial"/>
          <w:color w:val="000000" w:themeColor="text1"/>
          <w:kern w:val="24"/>
          <w:lang w:val="es-MX"/>
        </w:rPr>
        <w:t>Learning</w:t>
      </w:r>
      <w:proofErr w:type="spellEnd"/>
      <w:r w:rsidRPr="000A4F90">
        <w:rPr>
          <w:rFonts w:ascii="Arial" w:eastAsia="ヒラギノ角ゴ Pro W3" w:hAnsi="Arial" w:cs="Arial"/>
          <w:color w:val="000000" w:themeColor="text1"/>
          <w:kern w:val="24"/>
          <w:lang w:val="es-MX"/>
        </w:rPr>
        <w:t xml:space="preserve">, con una oferta de 27 cursos en una amplia variedad de temáticas, y mediante la cual se ha logrado una gran cobertura de funcionarios capacitados. </w:t>
      </w:r>
    </w:p>
    <w:p w:rsidR="003D1E2B" w:rsidRPr="003D1E2B" w:rsidRDefault="003D1E2B" w:rsidP="003D1E2B">
      <w:pPr>
        <w:spacing w:after="0" w:line="240" w:lineRule="auto"/>
        <w:rPr>
          <w:rFonts w:ascii="Times New Roman" w:eastAsia="Times New Roman" w:hAnsi="Times New Roman" w:cs="Times New Roman"/>
          <w:sz w:val="24"/>
          <w:szCs w:val="24"/>
          <w:lang w:eastAsia="es-CL"/>
        </w:rPr>
      </w:pPr>
      <w:r w:rsidRPr="003D1E2B">
        <w:rPr>
          <w:rFonts w:ascii="Calibri" w:eastAsia="Times New Roman" w:hAnsi="Calibri" w:cs="Calibri"/>
          <w:b/>
          <w:bCs/>
          <w:color w:val="000000"/>
          <w:kern w:val="24"/>
          <w:sz w:val="24"/>
          <w:szCs w:val="24"/>
          <w:lang w:val="es-ES_tradnl" w:eastAsia="es-CL"/>
        </w:rPr>
        <w:t xml:space="preserve">SUSTENTABILIDAD HOSPITALARIA Y EFICIENCIA ENERGÉTICA </w:t>
      </w:r>
    </w:p>
    <w:p w:rsidR="003D1E2B" w:rsidRDefault="003D1E2B" w:rsidP="000A4F90">
      <w:pPr>
        <w:spacing w:after="0" w:line="480" w:lineRule="auto"/>
        <w:jc w:val="both"/>
        <w:rPr>
          <w:rFonts w:ascii="Arial" w:eastAsia="Times New Roman" w:hAnsi="Arial" w:cs="Arial"/>
          <w:color w:val="000000" w:themeColor="text1"/>
          <w:sz w:val="24"/>
          <w:szCs w:val="24"/>
          <w:lang w:eastAsia="es-CL"/>
        </w:rPr>
      </w:pPr>
    </w:p>
    <w:p w:rsidR="000A4F90" w:rsidRPr="000A4F90" w:rsidRDefault="000A4F90" w:rsidP="000A4F90">
      <w:pPr>
        <w:spacing w:after="0" w:line="480" w:lineRule="auto"/>
        <w:jc w:val="both"/>
        <w:rPr>
          <w:rFonts w:ascii="Arial" w:eastAsia="Times New Roman" w:hAnsi="Arial" w:cs="Arial"/>
          <w:sz w:val="24"/>
          <w:szCs w:val="24"/>
          <w:lang w:eastAsia="es-CL"/>
        </w:rPr>
      </w:pPr>
      <w:r w:rsidRPr="000A4F90">
        <w:rPr>
          <w:rFonts w:ascii="Arial" w:eastAsia="Times New Roman" w:hAnsi="Arial" w:cs="Arial"/>
          <w:color w:val="000000"/>
          <w:kern w:val="24"/>
          <w:sz w:val="24"/>
          <w:szCs w:val="24"/>
          <w:lang w:val="es-MX" w:eastAsia="es-CL"/>
        </w:rPr>
        <w:t xml:space="preserve">El servicio de Salud en 2021 fue reconocido a nivel nacional con el </w:t>
      </w:r>
      <w:r w:rsidRPr="000A4F90">
        <w:rPr>
          <w:rFonts w:ascii="Arial" w:eastAsia="Times New Roman" w:hAnsi="Arial" w:cs="Arial"/>
          <w:b/>
          <w:bCs/>
          <w:color w:val="000000"/>
          <w:kern w:val="24"/>
          <w:sz w:val="24"/>
          <w:szCs w:val="24"/>
          <w:lang w:val="es-MX" w:eastAsia="es-CL"/>
        </w:rPr>
        <w:t>Sello de Excelencia Energética,</w:t>
      </w:r>
      <w:r w:rsidRPr="000A4F90">
        <w:rPr>
          <w:rFonts w:ascii="Arial" w:eastAsia="Times New Roman" w:hAnsi="Arial" w:cs="Arial"/>
          <w:color w:val="000000"/>
          <w:kern w:val="24"/>
          <w:sz w:val="24"/>
          <w:szCs w:val="24"/>
          <w:lang w:val="es-MX" w:eastAsia="es-CL"/>
        </w:rPr>
        <w:t xml:space="preserve"> otorgado por la agencia de sostenibilidad energética y el Ministerio de Energía, siendo el único Servicio de Salud del país  que acreditó a siete de sus establecimientos con dicho reconocimiento. </w:t>
      </w:r>
    </w:p>
    <w:p w:rsidR="003D1E2B" w:rsidRDefault="003D1E2B" w:rsidP="000A4F90">
      <w:pPr>
        <w:spacing w:after="0" w:line="480" w:lineRule="auto"/>
        <w:jc w:val="both"/>
        <w:rPr>
          <w:rFonts w:ascii="Arial" w:eastAsia="Times New Roman" w:hAnsi="Arial" w:cs="Arial"/>
          <w:color w:val="000000"/>
          <w:kern w:val="24"/>
          <w:sz w:val="24"/>
          <w:szCs w:val="24"/>
          <w:lang w:val="es-MX" w:eastAsia="es-CL"/>
        </w:rPr>
      </w:pPr>
    </w:p>
    <w:p w:rsidR="003D1E2B" w:rsidRDefault="003D1E2B" w:rsidP="000A4F90">
      <w:pPr>
        <w:spacing w:after="0" w:line="480" w:lineRule="auto"/>
        <w:jc w:val="both"/>
        <w:rPr>
          <w:rFonts w:ascii="Arial" w:eastAsia="Times New Roman" w:hAnsi="Arial" w:cs="Arial"/>
          <w:color w:val="000000"/>
          <w:kern w:val="24"/>
          <w:sz w:val="24"/>
          <w:szCs w:val="24"/>
          <w:lang w:val="es-MX" w:eastAsia="es-CL"/>
        </w:rPr>
      </w:pPr>
    </w:p>
    <w:p w:rsidR="000A4F90" w:rsidRPr="000A4F90" w:rsidRDefault="000A4F90" w:rsidP="000A4F90">
      <w:pPr>
        <w:spacing w:after="0" w:line="480" w:lineRule="auto"/>
        <w:jc w:val="both"/>
        <w:rPr>
          <w:rFonts w:ascii="Arial" w:eastAsia="Times New Roman" w:hAnsi="Arial" w:cs="Arial"/>
          <w:sz w:val="24"/>
          <w:szCs w:val="24"/>
          <w:lang w:eastAsia="es-CL"/>
        </w:rPr>
      </w:pPr>
      <w:r w:rsidRPr="000A4F90">
        <w:rPr>
          <w:rFonts w:ascii="Arial" w:eastAsia="Times New Roman" w:hAnsi="Arial" w:cs="Arial"/>
          <w:color w:val="000000"/>
          <w:kern w:val="24"/>
          <w:sz w:val="24"/>
          <w:szCs w:val="24"/>
          <w:lang w:val="es-MX" w:eastAsia="es-CL"/>
        </w:rPr>
        <w:lastRenderedPageBreak/>
        <w:t xml:space="preserve">Este importante hito da cuenta del trabajo que desarrolla la red asistencial en materia de gestión ambiental y sustentabilidad hospitalaria en el contexto de las </w:t>
      </w:r>
      <w:proofErr w:type="gramStart"/>
      <w:r w:rsidRPr="000A4F90">
        <w:rPr>
          <w:rFonts w:ascii="Arial" w:eastAsia="Times New Roman" w:hAnsi="Arial" w:cs="Arial"/>
          <w:color w:val="000000"/>
          <w:kern w:val="24"/>
          <w:sz w:val="24"/>
          <w:szCs w:val="24"/>
          <w:lang w:val="es-MX" w:eastAsia="es-CL"/>
        </w:rPr>
        <w:t>políticas</w:t>
      </w:r>
      <w:proofErr w:type="gramEnd"/>
      <w:r w:rsidRPr="000A4F90">
        <w:rPr>
          <w:rFonts w:ascii="Arial" w:eastAsia="Times New Roman" w:hAnsi="Arial" w:cs="Arial"/>
          <w:color w:val="000000"/>
          <w:kern w:val="24"/>
          <w:sz w:val="24"/>
          <w:szCs w:val="24"/>
          <w:lang w:val="es-MX" w:eastAsia="es-CL"/>
        </w:rPr>
        <w:t xml:space="preserve"> </w:t>
      </w:r>
      <w:proofErr w:type="spellStart"/>
      <w:r w:rsidRPr="000A4F90">
        <w:rPr>
          <w:rFonts w:ascii="Arial" w:eastAsia="Times New Roman" w:hAnsi="Arial" w:cs="Arial"/>
          <w:color w:val="000000"/>
          <w:kern w:val="24"/>
          <w:sz w:val="24"/>
          <w:szCs w:val="24"/>
          <w:lang w:val="es-MX" w:eastAsia="es-CL"/>
        </w:rPr>
        <w:t>publicas</w:t>
      </w:r>
      <w:proofErr w:type="spellEnd"/>
      <w:r w:rsidRPr="000A4F90">
        <w:rPr>
          <w:rFonts w:ascii="Arial" w:eastAsia="Times New Roman" w:hAnsi="Arial" w:cs="Arial"/>
          <w:color w:val="000000"/>
          <w:kern w:val="24"/>
          <w:sz w:val="24"/>
          <w:szCs w:val="24"/>
          <w:lang w:val="es-MX" w:eastAsia="es-CL"/>
        </w:rPr>
        <w:t xml:space="preserve"> de cambio climático, uso eficiente y racional de los recursos y la crisis de escases de agua que aqueja al Valle del Aconcagua.</w:t>
      </w:r>
    </w:p>
    <w:p w:rsidR="000A4F90" w:rsidRDefault="000A4F90" w:rsidP="000A4F90">
      <w:pPr>
        <w:spacing w:after="0" w:line="480" w:lineRule="auto"/>
        <w:jc w:val="both"/>
        <w:rPr>
          <w:rFonts w:ascii="Arial" w:eastAsia="Times New Roman" w:hAnsi="Arial" w:cs="Arial"/>
          <w:color w:val="000000"/>
          <w:kern w:val="24"/>
          <w:sz w:val="24"/>
          <w:szCs w:val="24"/>
          <w:lang w:val="es-MX" w:eastAsia="es-CL"/>
        </w:rPr>
      </w:pPr>
      <w:r w:rsidRPr="000A4F90">
        <w:rPr>
          <w:rFonts w:ascii="Arial" w:eastAsia="Times New Roman" w:hAnsi="Arial" w:cs="Arial"/>
          <w:color w:val="000000"/>
          <w:kern w:val="24"/>
          <w:sz w:val="24"/>
          <w:szCs w:val="24"/>
          <w:lang w:val="es-MX" w:eastAsia="es-CL"/>
        </w:rPr>
        <w:t>Siguiendo con la línea de trabajo de eficiencia energética, también en el 2021 el Servicio de Salud obtuvo el primer lugar a nivel nacional en el Concurso de edificios públicos del Ministerio de Energía para medición remota de consumos, lo cual se traduce en que dos establecimientos de la red (Hospital San Camilo y CESFAM San Felipe) podrán medir sus consumos de forma automatizada mejorando,  así el uso que le dan a la energía y disminuyendo las emisiones de contaminantes.</w:t>
      </w:r>
    </w:p>
    <w:p w:rsidR="003D1E2B" w:rsidRPr="003D1E2B" w:rsidRDefault="003D1E2B" w:rsidP="003D1E2B">
      <w:pPr>
        <w:spacing w:after="160" w:line="360" w:lineRule="auto"/>
        <w:jc w:val="both"/>
        <w:rPr>
          <w:rFonts w:ascii="Arial" w:eastAsiaTheme="minorHAnsi" w:hAnsi="Arial" w:cs="Arial"/>
          <w:b/>
          <w:sz w:val="24"/>
          <w:szCs w:val="24"/>
          <w:u w:val="single"/>
        </w:rPr>
      </w:pPr>
      <w:r w:rsidRPr="003D1E2B">
        <w:rPr>
          <w:rFonts w:ascii="Arial" w:eastAsiaTheme="minorHAnsi" w:hAnsi="Arial" w:cs="Arial"/>
          <w:b/>
          <w:sz w:val="24"/>
          <w:szCs w:val="24"/>
          <w:u w:val="single"/>
        </w:rPr>
        <w:t>GESTION DE PERSONAS</w:t>
      </w:r>
    </w:p>
    <w:p w:rsidR="003D1E2B" w:rsidRPr="003D1E2B" w:rsidRDefault="003D1E2B" w:rsidP="003D1E2B">
      <w:pPr>
        <w:spacing w:after="160" w:line="360" w:lineRule="auto"/>
        <w:jc w:val="both"/>
        <w:rPr>
          <w:rFonts w:ascii="Arial" w:eastAsiaTheme="minorHAnsi" w:hAnsi="Arial" w:cs="Arial"/>
          <w:sz w:val="24"/>
          <w:szCs w:val="24"/>
        </w:rPr>
      </w:pPr>
      <w:r w:rsidRPr="003D1E2B">
        <w:rPr>
          <w:rFonts w:ascii="Arial" w:eastAsiaTheme="minorHAnsi" w:hAnsi="Arial" w:cs="Arial"/>
          <w:sz w:val="24"/>
          <w:szCs w:val="24"/>
        </w:rPr>
        <w:t xml:space="preserve">Una de nuestras preocupaciones fundamentales fue el bienestar de los funcionarios y también de sus hijos e hijas. El 2021 resolvimos una problemática histórica para los CESFAM Cordillera Andina y de Llay </w:t>
      </w:r>
      <w:proofErr w:type="spellStart"/>
      <w:r w:rsidRPr="003D1E2B">
        <w:rPr>
          <w:rFonts w:ascii="Arial" w:eastAsiaTheme="minorHAnsi" w:hAnsi="Arial" w:cs="Arial"/>
          <w:sz w:val="24"/>
          <w:szCs w:val="24"/>
        </w:rPr>
        <w:t>Llay</w:t>
      </w:r>
      <w:proofErr w:type="spellEnd"/>
      <w:r w:rsidRPr="003D1E2B">
        <w:rPr>
          <w:rFonts w:ascii="Arial" w:eastAsiaTheme="minorHAnsi" w:hAnsi="Arial" w:cs="Arial"/>
          <w:sz w:val="24"/>
          <w:szCs w:val="24"/>
        </w:rPr>
        <w:t xml:space="preserve">, el Hospital San Francisco y el COSAM de Los Andes, como era contar con clubes escolares para que los niños y niñas de hasta doce años puedan permanecer mientras sus madres realizan sus labores habituales. Por mucho tiempo, nuestras funcionarias debieron buscar las más diversas soluciones para resolver este tema, el que hoy cuenta con una resolución definitiva. </w:t>
      </w:r>
    </w:p>
    <w:p w:rsidR="003D1E2B" w:rsidRPr="003D1E2B" w:rsidRDefault="003D1E2B" w:rsidP="003D1E2B">
      <w:pPr>
        <w:spacing w:after="160" w:line="360" w:lineRule="auto"/>
        <w:jc w:val="both"/>
        <w:rPr>
          <w:rFonts w:ascii="Arial" w:eastAsiaTheme="minorHAnsi" w:hAnsi="Arial" w:cs="Arial"/>
          <w:sz w:val="24"/>
          <w:szCs w:val="24"/>
        </w:rPr>
      </w:pPr>
      <w:r w:rsidRPr="003D1E2B">
        <w:rPr>
          <w:rFonts w:ascii="Arial" w:eastAsiaTheme="minorHAnsi" w:hAnsi="Arial" w:cs="Arial"/>
          <w:sz w:val="24"/>
          <w:szCs w:val="24"/>
        </w:rPr>
        <w:t>Así también, junto a Federación de Técnicos en Enfermería, generamos el Primer Diplomado en Trato Humanizado para funcionarios de nuestro Servicio de Salud, el que comenzó sus clases en Marzo de este año con 30 personas, las que pertenecen a diferentes establecimientos de toda nuestra red de salud</w:t>
      </w:r>
    </w:p>
    <w:p w:rsidR="003D1E2B" w:rsidRPr="003D1E2B" w:rsidRDefault="003D1E2B" w:rsidP="003D1E2B">
      <w:pPr>
        <w:spacing w:after="0" w:line="240" w:lineRule="auto"/>
        <w:jc w:val="both"/>
        <w:rPr>
          <w:rFonts w:ascii="Times New Roman" w:eastAsia="Times New Roman" w:hAnsi="Times New Roman" w:cs="Times New Roman"/>
          <w:sz w:val="24"/>
          <w:szCs w:val="24"/>
          <w:lang w:eastAsia="es-CL"/>
        </w:rPr>
      </w:pPr>
      <w:r w:rsidRPr="003D1E2B">
        <w:rPr>
          <w:rFonts w:hAnsi="Calibri"/>
          <w:color w:val="000000" w:themeColor="text1"/>
          <w:kern w:val="24"/>
          <w:sz w:val="32"/>
          <w:szCs w:val="32"/>
          <w:lang w:val="es-MX" w:eastAsia="es-CL"/>
        </w:rPr>
        <w:t>En el año 2021 se planifica y ejecuta el retorno de la actividad docente presencial a los establecimientos asistenciales del SSA, de los alumnos de pre grado de las carreras del área de la salud.</w:t>
      </w:r>
    </w:p>
    <w:p w:rsidR="003D1E2B" w:rsidRDefault="003D1E2B" w:rsidP="003D1E2B">
      <w:pPr>
        <w:spacing w:after="0" w:line="480" w:lineRule="auto"/>
        <w:jc w:val="both"/>
        <w:rPr>
          <w:rFonts w:ascii="Arial" w:hAnsi="Arial" w:cs="Arial"/>
          <w:color w:val="000000" w:themeColor="text1"/>
          <w:kern w:val="24"/>
          <w:sz w:val="24"/>
          <w:szCs w:val="24"/>
          <w:lang w:val="es-MX" w:eastAsia="es-CL"/>
        </w:rPr>
      </w:pPr>
    </w:p>
    <w:p w:rsidR="003D1E2B" w:rsidRPr="003D1E2B" w:rsidRDefault="003D1E2B" w:rsidP="003D1E2B">
      <w:pPr>
        <w:spacing w:after="0" w:line="240" w:lineRule="auto"/>
        <w:rPr>
          <w:rFonts w:ascii="Times New Roman" w:eastAsia="Times New Roman" w:hAnsi="Times New Roman" w:cs="Times New Roman"/>
          <w:sz w:val="28"/>
          <w:szCs w:val="28"/>
          <w:lang w:eastAsia="es-CL"/>
        </w:rPr>
      </w:pPr>
      <w:r w:rsidRPr="003D1E2B">
        <w:rPr>
          <w:rFonts w:ascii="Calibri" w:eastAsia="Times New Roman" w:hAnsi="Calibri" w:cs="Calibri"/>
          <w:b/>
          <w:bCs/>
          <w:color w:val="000000"/>
          <w:kern w:val="24"/>
          <w:sz w:val="28"/>
          <w:szCs w:val="28"/>
          <w:lang w:val="es-ES_tradnl" w:eastAsia="es-CL"/>
        </w:rPr>
        <w:lastRenderedPageBreak/>
        <w:t>RETORNO DE LA ACTIVIDAD ASISTENCIAL DOCENTE</w:t>
      </w:r>
    </w:p>
    <w:p w:rsidR="003D1E2B" w:rsidRPr="003D1E2B" w:rsidRDefault="003D1E2B" w:rsidP="003D1E2B">
      <w:pPr>
        <w:spacing w:after="0" w:line="480" w:lineRule="auto"/>
        <w:jc w:val="both"/>
        <w:rPr>
          <w:rFonts w:ascii="Arial" w:hAnsi="Arial" w:cs="Arial"/>
          <w:color w:val="000000" w:themeColor="text1"/>
          <w:kern w:val="24"/>
          <w:sz w:val="24"/>
          <w:szCs w:val="24"/>
          <w:lang w:eastAsia="es-CL"/>
        </w:rPr>
      </w:pPr>
    </w:p>
    <w:p w:rsidR="003D1E2B" w:rsidRPr="003D1E2B" w:rsidRDefault="003D1E2B" w:rsidP="003D1E2B">
      <w:pPr>
        <w:spacing w:after="0" w:line="480" w:lineRule="auto"/>
        <w:jc w:val="both"/>
        <w:rPr>
          <w:rFonts w:ascii="Arial" w:eastAsia="Times New Roman" w:hAnsi="Arial" w:cs="Arial"/>
          <w:sz w:val="24"/>
          <w:szCs w:val="24"/>
          <w:lang w:eastAsia="es-CL"/>
        </w:rPr>
      </w:pPr>
      <w:r w:rsidRPr="003D1E2B">
        <w:rPr>
          <w:rFonts w:ascii="Arial" w:hAnsi="Arial" w:cs="Arial"/>
          <w:color w:val="000000" w:themeColor="text1"/>
          <w:kern w:val="24"/>
          <w:sz w:val="24"/>
          <w:szCs w:val="24"/>
          <w:lang w:val="es-MX" w:eastAsia="es-CL"/>
        </w:rPr>
        <w:t xml:space="preserve">Este retorno, se realiza gracias al  compromiso de los equipos de salud  en apoyar la normalización de las actividades formativas de los estudiante de pre grado, ya que los campos clínicos son el medio de formación y perfeccionamiento con que cuenta la salud pública del país para </w:t>
      </w:r>
      <w:proofErr w:type="spellStart"/>
      <w:r w:rsidRPr="003D1E2B">
        <w:rPr>
          <w:rFonts w:ascii="Arial" w:hAnsi="Arial" w:cs="Arial"/>
          <w:color w:val="000000" w:themeColor="text1"/>
          <w:kern w:val="24"/>
          <w:sz w:val="24"/>
          <w:szCs w:val="24"/>
          <w:lang w:val="es-MX" w:eastAsia="es-CL"/>
        </w:rPr>
        <w:t>prepara</w:t>
      </w:r>
      <w:proofErr w:type="spellEnd"/>
      <w:r w:rsidRPr="003D1E2B">
        <w:rPr>
          <w:rFonts w:ascii="Arial" w:hAnsi="Arial" w:cs="Arial"/>
          <w:color w:val="000000" w:themeColor="text1"/>
          <w:kern w:val="24"/>
          <w:sz w:val="24"/>
          <w:szCs w:val="24"/>
          <w:lang w:val="es-MX" w:eastAsia="es-CL"/>
        </w:rPr>
        <w:t xml:space="preserve"> a los futuros profesionales y técnicos que estarán brindando  atención a la comunidad usuaria.</w:t>
      </w:r>
    </w:p>
    <w:p w:rsidR="003D1E2B" w:rsidRDefault="003D1E2B" w:rsidP="003D1E2B">
      <w:pPr>
        <w:spacing w:after="0" w:line="480" w:lineRule="auto"/>
        <w:jc w:val="both"/>
        <w:rPr>
          <w:rFonts w:ascii="Arial" w:hAnsi="Arial" w:cs="Arial"/>
          <w:color w:val="000000" w:themeColor="text1"/>
          <w:kern w:val="24"/>
          <w:sz w:val="24"/>
          <w:szCs w:val="24"/>
          <w:lang w:val="es-MX" w:eastAsia="es-CL"/>
        </w:rPr>
      </w:pPr>
      <w:r w:rsidRPr="003D1E2B">
        <w:rPr>
          <w:rFonts w:ascii="Arial" w:hAnsi="Arial" w:cs="Arial"/>
          <w:color w:val="000000" w:themeColor="text1"/>
          <w:kern w:val="24"/>
          <w:sz w:val="24"/>
          <w:szCs w:val="24"/>
          <w:lang w:val="es-MX" w:eastAsia="es-CL"/>
        </w:rPr>
        <w:t>Rotaron en nuestros establecimiento un total de 1900 alumnos de</w:t>
      </w:r>
      <w:r>
        <w:rPr>
          <w:rFonts w:ascii="Arial" w:hAnsi="Arial" w:cs="Arial"/>
          <w:color w:val="000000" w:themeColor="text1"/>
          <w:kern w:val="24"/>
          <w:sz w:val="24"/>
          <w:szCs w:val="24"/>
          <w:lang w:val="es-MX" w:eastAsia="es-CL"/>
        </w:rPr>
        <w:t xml:space="preserve"> las distinta </w:t>
      </w:r>
      <w:r w:rsidRPr="003D1E2B">
        <w:rPr>
          <w:rFonts w:ascii="Arial" w:hAnsi="Arial" w:cs="Arial"/>
          <w:color w:val="000000" w:themeColor="text1"/>
          <w:kern w:val="24"/>
          <w:sz w:val="24"/>
          <w:szCs w:val="24"/>
          <w:lang w:val="es-MX" w:eastAsia="es-CL"/>
        </w:rPr>
        <w:t>carreras de la salud pertenecientes a la Universidad de Valparaíso, Universidad de Playa Ancha, Universidad de Aconcagua e Instituto Profesional AIEP</w:t>
      </w:r>
      <w:r>
        <w:rPr>
          <w:rFonts w:ascii="Arial" w:hAnsi="Arial" w:cs="Arial"/>
          <w:color w:val="000000" w:themeColor="text1"/>
          <w:kern w:val="24"/>
          <w:sz w:val="24"/>
          <w:szCs w:val="24"/>
          <w:lang w:val="es-MX" w:eastAsia="es-CL"/>
        </w:rPr>
        <w:t>.</w:t>
      </w:r>
    </w:p>
    <w:p w:rsidR="003D1E2B" w:rsidRDefault="003D1E2B" w:rsidP="003D1E2B">
      <w:pPr>
        <w:spacing w:after="0" w:line="216" w:lineRule="auto"/>
        <w:contextualSpacing/>
        <w:jc w:val="both"/>
        <w:rPr>
          <w:rFonts w:hAnsi="Calibri"/>
          <w:color w:val="000000" w:themeColor="text1"/>
          <w:kern w:val="24"/>
          <w:sz w:val="30"/>
          <w:szCs w:val="30"/>
          <w:lang w:val="es-MX" w:eastAsia="es-CL"/>
        </w:rPr>
      </w:pPr>
    </w:p>
    <w:p w:rsidR="003D1E2B" w:rsidRDefault="003D1E2B" w:rsidP="003D1E2B">
      <w:pPr>
        <w:spacing w:after="0" w:line="216" w:lineRule="auto"/>
        <w:contextualSpacing/>
        <w:jc w:val="both"/>
        <w:rPr>
          <w:rFonts w:hAnsi="Calibri"/>
          <w:b/>
          <w:color w:val="000000" w:themeColor="text1"/>
          <w:kern w:val="24"/>
          <w:sz w:val="30"/>
          <w:szCs w:val="30"/>
          <w:lang w:eastAsia="es-CL"/>
        </w:rPr>
      </w:pPr>
      <w:r w:rsidRPr="003D1E2B">
        <w:rPr>
          <w:rFonts w:hAnsi="Calibri"/>
          <w:b/>
          <w:color w:val="000000" w:themeColor="text1"/>
          <w:kern w:val="24"/>
          <w:sz w:val="30"/>
          <w:szCs w:val="30"/>
          <w:lang w:eastAsia="es-CL"/>
        </w:rPr>
        <w:t>Centro de Salud Funcionaria</w:t>
      </w:r>
    </w:p>
    <w:p w:rsidR="003D1E2B" w:rsidRPr="003D1E2B" w:rsidRDefault="003D1E2B" w:rsidP="003D1E2B">
      <w:pPr>
        <w:spacing w:after="0" w:line="216" w:lineRule="auto"/>
        <w:contextualSpacing/>
        <w:jc w:val="both"/>
        <w:rPr>
          <w:rFonts w:hAnsi="Calibri"/>
          <w:b/>
          <w:color w:val="000000" w:themeColor="text1"/>
          <w:kern w:val="24"/>
          <w:sz w:val="30"/>
          <w:szCs w:val="30"/>
          <w:lang w:eastAsia="es-CL"/>
        </w:rPr>
      </w:pPr>
      <w:bookmarkStart w:id="0" w:name="_GoBack"/>
      <w:bookmarkEnd w:id="0"/>
    </w:p>
    <w:p w:rsidR="003D1E2B" w:rsidRPr="003D1E2B" w:rsidRDefault="003D1E2B" w:rsidP="003D1E2B">
      <w:pPr>
        <w:spacing w:after="0" w:line="480" w:lineRule="auto"/>
        <w:contextualSpacing/>
        <w:jc w:val="both"/>
        <w:rPr>
          <w:rFonts w:ascii="Times New Roman" w:eastAsia="Times New Roman" w:hAnsi="Times New Roman" w:cs="Times New Roman"/>
          <w:sz w:val="30"/>
          <w:szCs w:val="24"/>
          <w:lang w:eastAsia="es-CL"/>
        </w:rPr>
      </w:pPr>
      <w:r w:rsidRPr="003D1E2B">
        <w:rPr>
          <w:rFonts w:hAnsi="Calibri"/>
          <w:color w:val="000000" w:themeColor="text1"/>
          <w:kern w:val="24"/>
          <w:sz w:val="30"/>
          <w:szCs w:val="30"/>
          <w:lang w:eastAsia="es-CL"/>
        </w:rPr>
        <w:t xml:space="preserve">En el año 2021 el Centro de Atención de Salud Funcionaria (CASF) incrementó sus horas  profesionales para lograr una mayor cobertura de atención </w:t>
      </w:r>
      <w:proofErr w:type="gramStart"/>
      <w:r w:rsidRPr="003D1E2B">
        <w:rPr>
          <w:rFonts w:hAnsi="Calibri"/>
          <w:color w:val="000000" w:themeColor="text1"/>
          <w:kern w:val="24"/>
          <w:sz w:val="30"/>
          <w:szCs w:val="30"/>
          <w:lang w:eastAsia="es-CL"/>
        </w:rPr>
        <w:t>a</w:t>
      </w:r>
      <w:proofErr w:type="gramEnd"/>
      <w:r w:rsidRPr="003D1E2B">
        <w:rPr>
          <w:rFonts w:hAnsi="Calibri"/>
          <w:color w:val="000000" w:themeColor="text1"/>
          <w:kern w:val="24"/>
          <w:sz w:val="30"/>
          <w:szCs w:val="30"/>
          <w:lang w:eastAsia="es-CL"/>
        </w:rPr>
        <w:t xml:space="preserve"> los/as funcionarios y funcionarias de la red y con ello mejorar las condiciones laborales contribuyendo a óptima atención usuaria:</w:t>
      </w:r>
    </w:p>
    <w:p w:rsidR="003D1E2B" w:rsidRPr="003D1E2B" w:rsidRDefault="003D1E2B" w:rsidP="003D1E2B">
      <w:pPr>
        <w:spacing w:after="0" w:line="480" w:lineRule="auto"/>
        <w:contextualSpacing/>
        <w:jc w:val="both"/>
        <w:rPr>
          <w:rFonts w:ascii="Times New Roman" w:eastAsia="Times New Roman" w:hAnsi="Times New Roman" w:cs="Times New Roman"/>
          <w:sz w:val="30"/>
          <w:szCs w:val="24"/>
          <w:lang w:eastAsia="es-CL"/>
        </w:rPr>
      </w:pPr>
      <w:r w:rsidRPr="003D1E2B">
        <w:rPr>
          <w:rFonts w:hAnsi="Calibri"/>
          <w:color w:val="000000" w:themeColor="text1"/>
          <w:kern w:val="24"/>
          <w:sz w:val="30"/>
          <w:szCs w:val="30"/>
          <w:lang w:eastAsia="es-CL"/>
        </w:rPr>
        <w:t>22 horas de Médico de Familia</w:t>
      </w:r>
    </w:p>
    <w:p w:rsidR="003D1E2B" w:rsidRPr="003D1E2B" w:rsidRDefault="003D1E2B" w:rsidP="003D1E2B">
      <w:pPr>
        <w:spacing w:after="0" w:line="480" w:lineRule="auto"/>
        <w:contextualSpacing/>
        <w:jc w:val="both"/>
        <w:rPr>
          <w:rFonts w:ascii="Times New Roman" w:eastAsia="Times New Roman" w:hAnsi="Times New Roman" w:cs="Times New Roman"/>
          <w:sz w:val="30"/>
          <w:szCs w:val="24"/>
          <w:lang w:eastAsia="es-CL"/>
        </w:rPr>
      </w:pPr>
      <w:r w:rsidRPr="003D1E2B">
        <w:rPr>
          <w:rFonts w:hAnsi="Calibri"/>
          <w:color w:val="000000" w:themeColor="text1"/>
          <w:kern w:val="24"/>
          <w:sz w:val="30"/>
          <w:szCs w:val="30"/>
          <w:lang w:eastAsia="es-CL"/>
        </w:rPr>
        <w:t>22 horas de Psicología</w:t>
      </w:r>
    </w:p>
    <w:p w:rsidR="003D1E2B" w:rsidRPr="003D1E2B" w:rsidRDefault="003D1E2B" w:rsidP="003D1E2B">
      <w:pPr>
        <w:spacing w:after="0" w:line="480" w:lineRule="auto"/>
        <w:contextualSpacing/>
        <w:jc w:val="both"/>
        <w:rPr>
          <w:rFonts w:ascii="Times New Roman" w:eastAsia="Times New Roman" w:hAnsi="Times New Roman" w:cs="Times New Roman"/>
          <w:sz w:val="30"/>
          <w:szCs w:val="24"/>
          <w:lang w:eastAsia="es-CL"/>
        </w:rPr>
      </w:pPr>
      <w:r w:rsidRPr="003D1E2B">
        <w:rPr>
          <w:rFonts w:hAnsi="Calibri"/>
          <w:color w:val="000000" w:themeColor="text1"/>
          <w:kern w:val="24"/>
          <w:sz w:val="30"/>
          <w:szCs w:val="30"/>
          <w:lang w:eastAsia="es-CL"/>
        </w:rPr>
        <w:t xml:space="preserve">22 horas de Terapias Complementaria </w:t>
      </w:r>
    </w:p>
    <w:p w:rsidR="003D1E2B" w:rsidRDefault="003D1E2B" w:rsidP="003D1E2B">
      <w:pPr>
        <w:spacing w:after="0" w:line="480" w:lineRule="auto"/>
        <w:jc w:val="both"/>
        <w:rPr>
          <w:rFonts w:ascii="Arial" w:hAnsi="Arial" w:cs="Arial"/>
          <w:color w:val="000000" w:themeColor="text1"/>
          <w:kern w:val="24"/>
          <w:sz w:val="24"/>
          <w:szCs w:val="24"/>
          <w:lang w:val="es-MX" w:eastAsia="es-CL"/>
        </w:rPr>
      </w:pPr>
    </w:p>
    <w:p w:rsidR="003D1E2B" w:rsidRPr="000A4F90" w:rsidRDefault="003D1E2B" w:rsidP="003D1E2B">
      <w:pPr>
        <w:spacing w:after="0" w:line="480" w:lineRule="auto"/>
        <w:jc w:val="both"/>
        <w:rPr>
          <w:rFonts w:ascii="Arial" w:eastAsia="Times New Roman" w:hAnsi="Arial" w:cs="Arial"/>
          <w:sz w:val="24"/>
          <w:szCs w:val="24"/>
          <w:lang w:eastAsia="es-CL"/>
        </w:rPr>
      </w:pPr>
    </w:p>
    <w:p w:rsidR="009D262C" w:rsidRPr="009D262C" w:rsidRDefault="009D262C" w:rsidP="009D262C">
      <w:pPr>
        <w:spacing w:after="160" w:line="360" w:lineRule="auto"/>
        <w:jc w:val="both"/>
        <w:rPr>
          <w:rFonts w:ascii="Arial" w:eastAsiaTheme="minorHAnsi" w:hAnsi="Arial" w:cs="Arial"/>
          <w:sz w:val="24"/>
          <w:szCs w:val="24"/>
        </w:rPr>
      </w:pPr>
    </w:p>
    <w:p w:rsidR="004F6177" w:rsidRDefault="003D1E2B"/>
    <w:sectPr w:rsidR="004F61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n-ea">
    <w:panose1 w:val="00000000000000000000"/>
    <w:charset w:val="00"/>
    <w:family w:val="roman"/>
    <w:notTrueType/>
    <w:pitch w:val="default"/>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1170C"/>
    <w:multiLevelType w:val="hybridMultilevel"/>
    <w:tmpl w:val="D8E434D4"/>
    <w:lvl w:ilvl="0" w:tplc="FABA3326">
      <w:start w:val="1"/>
      <w:numFmt w:val="bullet"/>
      <w:lvlText w:val="•"/>
      <w:lvlJc w:val="left"/>
      <w:pPr>
        <w:tabs>
          <w:tab w:val="num" w:pos="720"/>
        </w:tabs>
        <w:ind w:left="720" w:hanging="360"/>
      </w:pPr>
      <w:rPr>
        <w:rFonts w:ascii="Arial" w:hAnsi="Arial" w:hint="default"/>
      </w:rPr>
    </w:lvl>
    <w:lvl w:ilvl="1" w:tplc="81E48862" w:tentative="1">
      <w:start w:val="1"/>
      <w:numFmt w:val="bullet"/>
      <w:lvlText w:val="•"/>
      <w:lvlJc w:val="left"/>
      <w:pPr>
        <w:tabs>
          <w:tab w:val="num" w:pos="1440"/>
        </w:tabs>
        <w:ind w:left="1440" w:hanging="360"/>
      </w:pPr>
      <w:rPr>
        <w:rFonts w:ascii="Arial" w:hAnsi="Arial" w:hint="default"/>
      </w:rPr>
    </w:lvl>
    <w:lvl w:ilvl="2" w:tplc="AF1406A8" w:tentative="1">
      <w:start w:val="1"/>
      <w:numFmt w:val="bullet"/>
      <w:lvlText w:val="•"/>
      <w:lvlJc w:val="left"/>
      <w:pPr>
        <w:tabs>
          <w:tab w:val="num" w:pos="2160"/>
        </w:tabs>
        <w:ind w:left="2160" w:hanging="360"/>
      </w:pPr>
      <w:rPr>
        <w:rFonts w:ascii="Arial" w:hAnsi="Arial" w:hint="default"/>
      </w:rPr>
    </w:lvl>
    <w:lvl w:ilvl="3" w:tplc="C374BB96" w:tentative="1">
      <w:start w:val="1"/>
      <w:numFmt w:val="bullet"/>
      <w:lvlText w:val="•"/>
      <w:lvlJc w:val="left"/>
      <w:pPr>
        <w:tabs>
          <w:tab w:val="num" w:pos="2880"/>
        </w:tabs>
        <w:ind w:left="2880" w:hanging="360"/>
      </w:pPr>
      <w:rPr>
        <w:rFonts w:ascii="Arial" w:hAnsi="Arial" w:hint="default"/>
      </w:rPr>
    </w:lvl>
    <w:lvl w:ilvl="4" w:tplc="D9DC7D0E" w:tentative="1">
      <w:start w:val="1"/>
      <w:numFmt w:val="bullet"/>
      <w:lvlText w:val="•"/>
      <w:lvlJc w:val="left"/>
      <w:pPr>
        <w:tabs>
          <w:tab w:val="num" w:pos="3600"/>
        </w:tabs>
        <w:ind w:left="3600" w:hanging="360"/>
      </w:pPr>
      <w:rPr>
        <w:rFonts w:ascii="Arial" w:hAnsi="Arial" w:hint="default"/>
      </w:rPr>
    </w:lvl>
    <w:lvl w:ilvl="5" w:tplc="F33866CC" w:tentative="1">
      <w:start w:val="1"/>
      <w:numFmt w:val="bullet"/>
      <w:lvlText w:val="•"/>
      <w:lvlJc w:val="left"/>
      <w:pPr>
        <w:tabs>
          <w:tab w:val="num" w:pos="4320"/>
        </w:tabs>
        <w:ind w:left="4320" w:hanging="360"/>
      </w:pPr>
      <w:rPr>
        <w:rFonts w:ascii="Arial" w:hAnsi="Arial" w:hint="default"/>
      </w:rPr>
    </w:lvl>
    <w:lvl w:ilvl="6" w:tplc="2258E752" w:tentative="1">
      <w:start w:val="1"/>
      <w:numFmt w:val="bullet"/>
      <w:lvlText w:val="•"/>
      <w:lvlJc w:val="left"/>
      <w:pPr>
        <w:tabs>
          <w:tab w:val="num" w:pos="5040"/>
        </w:tabs>
        <w:ind w:left="5040" w:hanging="360"/>
      </w:pPr>
      <w:rPr>
        <w:rFonts w:ascii="Arial" w:hAnsi="Arial" w:hint="default"/>
      </w:rPr>
    </w:lvl>
    <w:lvl w:ilvl="7" w:tplc="D6B6802C" w:tentative="1">
      <w:start w:val="1"/>
      <w:numFmt w:val="bullet"/>
      <w:lvlText w:val="•"/>
      <w:lvlJc w:val="left"/>
      <w:pPr>
        <w:tabs>
          <w:tab w:val="num" w:pos="5760"/>
        </w:tabs>
        <w:ind w:left="5760" w:hanging="360"/>
      </w:pPr>
      <w:rPr>
        <w:rFonts w:ascii="Arial" w:hAnsi="Arial" w:hint="default"/>
      </w:rPr>
    </w:lvl>
    <w:lvl w:ilvl="8" w:tplc="8D9C3908" w:tentative="1">
      <w:start w:val="1"/>
      <w:numFmt w:val="bullet"/>
      <w:lvlText w:val="•"/>
      <w:lvlJc w:val="left"/>
      <w:pPr>
        <w:tabs>
          <w:tab w:val="num" w:pos="6480"/>
        </w:tabs>
        <w:ind w:left="6480" w:hanging="360"/>
      </w:pPr>
      <w:rPr>
        <w:rFonts w:ascii="Arial" w:hAnsi="Arial" w:hint="default"/>
      </w:rPr>
    </w:lvl>
  </w:abstractNum>
  <w:abstractNum w:abstractNumId="1">
    <w:nsid w:val="23762D6F"/>
    <w:multiLevelType w:val="hybridMultilevel"/>
    <w:tmpl w:val="5628B4E4"/>
    <w:lvl w:ilvl="0" w:tplc="19182B08">
      <w:start w:val="1"/>
      <w:numFmt w:val="bullet"/>
      <w:lvlText w:val="-"/>
      <w:lvlJc w:val="left"/>
      <w:pPr>
        <w:tabs>
          <w:tab w:val="num" w:pos="720"/>
        </w:tabs>
        <w:ind w:left="720" w:hanging="360"/>
      </w:pPr>
      <w:rPr>
        <w:rFonts w:ascii="Times New Roman" w:hAnsi="Times New Roman" w:hint="default"/>
      </w:rPr>
    </w:lvl>
    <w:lvl w:ilvl="1" w:tplc="23E2FE18" w:tentative="1">
      <w:start w:val="1"/>
      <w:numFmt w:val="bullet"/>
      <w:lvlText w:val="-"/>
      <w:lvlJc w:val="left"/>
      <w:pPr>
        <w:tabs>
          <w:tab w:val="num" w:pos="1440"/>
        </w:tabs>
        <w:ind w:left="1440" w:hanging="360"/>
      </w:pPr>
      <w:rPr>
        <w:rFonts w:ascii="Times New Roman" w:hAnsi="Times New Roman" w:hint="default"/>
      </w:rPr>
    </w:lvl>
    <w:lvl w:ilvl="2" w:tplc="7DAA6540" w:tentative="1">
      <w:start w:val="1"/>
      <w:numFmt w:val="bullet"/>
      <w:lvlText w:val="-"/>
      <w:lvlJc w:val="left"/>
      <w:pPr>
        <w:tabs>
          <w:tab w:val="num" w:pos="2160"/>
        </w:tabs>
        <w:ind w:left="2160" w:hanging="360"/>
      </w:pPr>
      <w:rPr>
        <w:rFonts w:ascii="Times New Roman" w:hAnsi="Times New Roman" w:hint="default"/>
      </w:rPr>
    </w:lvl>
    <w:lvl w:ilvl="3" w:tplc="CDF01C74" w:tentative="1">
      <w:start w:val="1"/>
      <w:numFmt w:val="bullet"/>
      <w:lvlText w:val="-"/>
      <w:lvlJc w:val="left"/>
      <w:pPr>
        <w:tabs>
          <w:tab w:val="num" w:pos="2880"/>
        </w:tabs>
        <w:ind w:left="2880" w:hanging="360"/>
      </w:pPr>
      <w:rPr>
        <w:rFonts w:ascii="Times New Roman" w:hAnsi="Times New Roman" w:hint="default"/>
      </w:rPr>
    </w:lvl>
    <w:lvl w:ilvl="4" w:tplc="E0443DF6" w:tentative="1">
      <w:start w:val="1"/>
      <w:numFmt w:val="bullet"/>
      <w:lvlText w:val="-"/>
      <w:lvlJc w:val="left"/>
      <w:pPr>
        <w:tabs>
          <w:tab w:val="num" w:pos="3600"/>
        </w:tabs>
        <w:ind w:left="3600" w:hanging="360"/>
      </w:pPr>
      <w:rPr>
        <w:rFonts w:ascii="Times New Roman" w:hAnsi="Times New Roman" w:hint="default"/>
      </w:rPr>
    </w:lvl>
    <w:lvl w:ilvl="5" w:tplc="6F44E70C" w:tentative="1">
      <w:start w:val="1"/>
      <w:numFmt w:val="bullet"/>
      <w:lvlText w:val="-"/>
      <w:lvlJc w:val="left"/>
      <w:pPr>
        <w:tabs>
          <w:tab w:val="num" w:pos="4320"/>
        </w:tabs>
        <w:ind w:left="4320" w:hanging="360"/>
      </w:pPr>
      <w:rPr>
        <w:rFonts w:ascii="Times New Roman" w:hAnsi="Times New Roman" w:hint="default"/>
      </w:rPr>
    </w:lvl>
    <w:lvl w:ilvl="6" w:tplc="6DD85C70" w:tentative="1">
      <w:start w:val="1"/>
      <w:numFmt w:val="bullet"/>
      <w:lvlText w:val="-"/>
      <w:lvlJc w:val="left"/>
      <w:pPr>
        <w:tabs>
          <w:tab w:val="num" w:pos="5040"/>
        </w:tabs>
        <w:ind w:left="5040" w:hanging="360"/>
      </w:pPr>
      <w:rPr>
        <w:rFonts w:ascii="Times New Roman" w:hAnsi="Times New Roman" w:hint="default"/>
      </w:rPr>
    </w:lvl>
    <w:lvl w:ilvl="7" w:tplc="93467710" w:tentative="1">
      <w:start w:val="1"/>
      <w:numFmt w:val="bullet"/>
      <w:lvlText w:val="-"/>
      <w:lvlJc w:val="left"/>
      <w:pPr>
        <w:tabs>
          <w:tab w:val="num" w:pos="5760"/>
        </w:tabs>
        <w:ind w:left="5760" w:hanging="360"/>
      </w:pPr>
      <w:rPr>
        <w:rFonts w:ascii="Times New Roman" w:hAnsi="Times New Roman" w:hint="default"/>
      </w:rPr>
    </w:lvl>
    <w:lvl w:ilvl="8" w:tplc="142C625A" w:tentative="1">
      <w:start w:val="1"/>
      <w:numFmt w:val="bullet"/>
      <w:lvlText w:val="-"/>
      <w:lvlJc w:val="left"/>
      <w:pPr>
        <w:tabs>
          <w:tab w:val="num" w:pos="6480"/>
        </w:tabs>
        <w:ind w:left="6480" w:hanging="360"/>
      </w:pPr>
      <w:rPr>
        <w:rFonts w:ascii="Times New Roman" w:hAnsi="Times New Roman" w:hint="default"/>
      </w:rPr>
    </w:lvl>
  </w:abstractNum>
  <w:abstractNum w:abstractNumId="2">
    <w:nsid w:val="28F50818"/>
    <w:multiLevelType w:val="hybridMultilevel"/>
    <w:tmpl w:val="071E5864"/>
    <w:lvl w:ilvl="0" w:tplc="340A000F">
      <w:start w:val="1"/>
      <w:numFmt w:val="decimal"/>
      <w:lvlText w:val="%1."/>
      <w:lvlJc w:val="lef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62C"/>
    <w:rsid w:val="000A4F90"/>
    <w:rsid w:val="003D1E2B"/>
    <w:rsid w:val="007118FE"/>
    <w:rsid w:val="008E692A"/>
    <w:rsid w:val="009D262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2F644-1736-4320-9A56-5327C99C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62C"/>
    <w:pPr>
      <w:spacing w:after="200" w:line="276" w:lineRule="auto"/>
    </w:pPr>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262C"/>
    <w:pPr>
      <w:ind w:left="720"/>
      <w:contextualSpacing/>
    </w:pPr>
  </w:style>
  <w:style w:type="paragraph" w:styleId="NormalWeb">
    <w:name w:val="Normal (Web)"/>
    <w:basedOn w:val="Normal"/>
    <w:uiPriority w:val="99"/>
    <w:semiHidden/>
    <w:unhideWhenUsed/>
    <w:rsid w:val="000A4F90"/>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6559">
      <w:bodyDiv w:val="1"/>
      <w:marLeft w:val="0"/>
      <w:marRight w:val="0"/>
      <w:marTop w:val="0"/>
      <w:marBottom w:val="0"/>
      <w:divBdr>
        <w:top w:val="none" w:sz="0" w:space="0" w:color="auto"/>
        <w:left w:val="none" w:sz="0" w:space="0" w:color="auto"/>
        <w:bottom w:val="none" w:sz="0" w:space="0" w:color="auto"/>
        <w:right w:val="none" w:sz="0" w:space="0" w:color="auto"/>
      </w:divBdr>
    </w:div>
    <w:div w:id="101269659">
      <w:bodyDiv w:val="1"/>
      <w:marLeft w:val="0"/>
      <w:marRight w:val="0"/>
      <w:marTop w:val="0"/>
      <w:marBottom w:val="0"/>
      <w:divBdr>
        <w:top w:val="none" w:sz="0" w:space="0" w:color="auto"/>
        <w:left w:val="none" w:sz="0" w:space="0" w:color="auto"/>
        <w:bottom w:val="none" w:sz="0" w:space="0" w:color="auto"/>
        <w:right w:val="none" w:sz="0" w:space="0" w:color="auto"/>
      </w:divBdr>
    </w:div>
    <w:div w:id="498926982">
      <w:bodyDiv w:val="1"/>
      <w:marLeft w:val="0"/>
      <w:marRight w:val="0"/>
      <w:marTop w:val="0"/>
      <w:marBottom w:val="0"/>
      <w:divBdr>
        <w:top w:val="none" w:sz="0" w:space="0" w:color="auto"/>
        <w:left w:val="none" w:sz="0" w:space="0" w:color="auto"/>
        <w:bottom w:val="none" w:sz="0" w:space="0" w:color="auto"/>
        <w:right w:val="none" w:sz="0" w:space="0" w:color="auto"/>
      </w:divBdr>
    </w:div>
    <w:div w:id="951589768">
      <w:bodyDiv w:val="1"/>
      <w:marLeft w:val="0"/>
      <w:marRight w:val="0"/>
      <w:marTop w:val="0"/>
      <w:marBottom w:val="0"/>
      <w:divBdr>
        <w:top w:val="none" w:sz="0" w:space="0" w:color="auto"/>
        <w:left w:val="none" w:sz="0" w:space="0" w:color="auto"/>
        <w:bottom w:val="none" w:sz="0" w:space="0" w:color="auto"/>
        <w:right w:val="none" w:sz="0" w:space="0" w:color="auto"/>
      </w:divBdr>
      <w:divsChild>
        <w:div w:id="2126579733">
          <w:marLeft w:val="360"/>
          <w:marRight w:val="0"/>
          <w:marTop w:val="200"/>
          <w:marBottom w:val="0"/>
          <w:divBdr>
            <w:top w:val="none" w:sz="0" w:space="0" w:color="auto"/>
            <w:left w:val="none" w:sz="0" w:space="0" w:color="auto"/>
            <w:bottom w:val="none" w:sz="0" w:space="0" w:color="auto"/>
            <w:right w:val="none" w:sz="0" w:space="0" w:color="auto"/>
          </w:divBdr>
        </w:div>
        <w:div w:id="1800296131">
          <w:marLeft w:val="360"/>
          <w:marRight w:val="0"/>
          <w:marTop w:val="200"/>
          <w:marBottom w:val="0"/>
          <w:divBdr>
            <w:top w:val="none" w:sz="0" w:space="0" w:color="auto"/>
            <w:left w:val="none" w:sz="0" w:space="0" w:color="auto"/>
            <w:bottom w:val="none" w:sz="0" w:space="0" w:color="auto"/>
            <w:right w:val="none" w:sz="0" w:space="0" w:color="auto"/>
          </w:divBdr>
        </w:div>
        <w:div w:id="1979798479">
          <w:marLeft w:val="360"/>
          <w:marRight w:val="0"/>
          <w:marTop w:val="200"/>
          <w:marBottom w:val="0"/>
          <w:divBdr>
            <w:top w:val="none" w:sz="0" w:space="0" w:color="auto"/>
            <w:left w:val="none" w:sz="0" w:space="0" w:color="auto"/>
            <w:bottom w:val="none" w:sz="0" w:space="0" w:color="auto"/>
            <w:right w:val="none" w:sz="0" w:space="0" w:color="auto"/>
          </w:divBdr>
        </w:div>
        <w:div w:id="1255438516">
          <w:marLeft w:val="360"/>
          <w:marRight w:val="0"/>
          <w:marTop w:val="200"/>
          <w:marBottom w:val="0"/>
          <w:divBdr>
            <w:top w:val="none" w:sz="0" w:space="0" w:color="auto"/>
            <w:left w:val="none" w:sz="0" w:space="0" w:color="auto"/>
            <w:bottom w:val="none" w:sz="0" w:space="0" w:color="auto"/>
            <w:right w:val="none" w:sz="0" w:space="0" w:color="auto"/>
          </w:divBdr>
        </w:div>
      </w:divsChild>
    </w:div>
    <w:div w:id="1126267889">
      <w:bodyDiv w:val="1"/>
      <w:marLeft w:val="0"/>
      <w:marRight w:val="0"/>
      <w:marTop w:val="0"/>
      <w:marBottom w:val="0"/>
      <w:divBdr>
        <w:top w:val="none" w:sz="0" w:space="0" w:color="auto"/>
        <w:left w:val="none" w:sz="0" w:space="0" w:color="auto"/>
        <w:bottom w:val="none" w:sz="0" w:space="0" w:color="auto"/>
        <w:right w:val="none" w:sz="0" w:space="0" w:color="auto"/>
      </w:divBdr>
    </w:div>
    <w:div w:id="13387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2267</Words>
  <Characters>12473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Gonzalez</dc:creator>
  <cp:keywords/>
  <dc:description/>
  <cp:lastModifiedBy>Julio Gonzalez</cp:lastModifiedBy>
  <cp:revision>2</cp:revision>
  <dcterms:created xsi:type="dcterms:W3CDTF">2022-06-13T15:04:00Z</dcterms:created>
  <dcterms:modified xsi:type="dcterms:W3CDTF">2022-06-13T15:04:00Z</dcterms:modified>
</cp:coreProperties>
</file>