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62C" w:rsidRPr="009D262C" w:rsidRDefault="009D262C" w:rsidP="009D262C">
      <w:pPr>
        <w:autoSpaceDE w:val="0"/>
        <w:autoSpaceDN w:val="0"/>
        <w:adjustRightInd w:val="0"/>
        <w:spacing w:after="0" w:line="360" w:lineRule="auto"/>
        <w:jc w:val="both"/>
        <w:rPr>
          <w:rFonts w:ascii="Arial" w:hAnsi="Arial" w:cs="Arial"/>
          <w:sz w:val="24"/>
          <w:szCs w:val="24"/>
        </w:rPr>
      </w:pPr>
      <w:r w:rsidRPr="009D262C">
        <w:rPr>
          <w:rFonts w:ascii="Arial" w:hAnsi="Arial" w:cs="Arial"/>
          <w:sz w:val="24"/>
          <w:szCs w:val="24"/>
        </w:rPr>
        <w:t>Durante este tiempo que hemos vivido en pandemia, los equipos de salud han tenido que reorganizarse y priorizar atenciones de urgencia respiratoria por sobre las atenciones habituales tanto en los establecimientos de Atención Primaria de Salud como así mismo en los establecimientos hospitalarios. Toda la red asistencial de Aconcagua se articuló para dar respuesta a las altas demandas de la población no sólo por COVID-19 si no que también por todas las otras patologías y condiciones de saluda que la población requirió.</w:t>
      </w:r>
    </w:p>
    <w:p w:rsidR="009D262C" w:rsidRPr="009D262C" w:rsidRDefault="009D262C" w:rsidP="009D262C">
      <w:pPr>
        <w:autoSpaceDE w:val="0"/>
        <w:autoSpaceDN w:val="0"/>
        <w:adjustRightInd w:val="0"/>
        <w:spacing w:after="0" w:line="360" w:lineRule="auto"/>
        <w:jc w:val="both"/>
        <w:rPr>
          <w:rFonts w:ascii="Arial" w:hAnsi="Arial" w:cs="Arial"/>
          <w:sz w:val="24"/>
          <w:szCs w:val="24"/>
        </w:rPr>
      </w:pPr>
    </w:p>
    <w:p w:rsidR="009D262C" w:rsidRPr="009D262C" w:rsidRDefault="009D262C" w:rsidP="009D262C">
      <w:pPr>
        <w:autoSpaceDE w:val="0"/>
        <w:autoSpaceDN w:val="0"/>
        <w:adjustRightInd w:val="0"/>
        <w:spacing w:after="0" w:line="360" w:lineRule="auto"/>
        <w:jc w:val="both"/>
        <w:rPr>
          <w:rFonts w:ascii="Arial" w:hAnsi="Arial" w:cs="Arial"/>
          <w:sz w:val="24"/>
          <w:szCs w:val="24"/>
        </w:rPr>
      </w:pPr>
      <w:r w:rsidRPr="009D262C">
        <w:rPr>
          <w:rFonts w:ascii="Arial" w:hAnsi="Arial" w:cs="Arial"/>
          <w:sz w:val="24"/>
          <w:szCs w:val="24"/>
        </w:rPr>
        <w:t>Durante el año 2021 queremos destacar las siguientes estrategias desplegadas en la Atención Primaria de Salud:</w:t>
      </w:r>
    </w:p>
    <w:p w:rsidR="009D262C" w:rsidRPr="009D262C" w:rsidRDefault="009D262C" w:rsidP="009D262C">
      <w:pPr>
        <w:autoSpaceDE w:val="0"/>
        <w:autoSpaceDN w:val="0"/>
        <w:adjustRightInd w:val="0"/>
        <w:spacing w:after="0" w:line="360" w:lineRule="auto"/>
        <w:jc w:val="both"/>
        <w:rPr>
          <w:rFonts w:ascii="Arial" w:hAnsi="Arial" w:cs="Arial"/>
          <w:color w:val="585757"/>
          <w:sz w:val="24"/>
          <w:szCs w:val="24"/>
        </w:rPr>
      </w:pP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La atención domiciliaria corresponde a toda aquella atención que habitualmente se realiza en el establecimiento de salud, pero que por la contingencia actual, no es recomendable o factible que se haga en los CESFAM; por lo cual se debe realizar en el domicilio de la persona. Está destinada a personas que, por su condición de salud, requieren atención que no puede ser diferida. Durante el año 2021 se realizaron 10.597 visitas y 11.609 procedimientos médicos en domicilio.</w:t>
      </w:r>
      <w:r w:rsidRPr="009D262C">
        <w:rPr>
          <w:rFonts w:ascii="Arial" w:hAnsi="Arial" w:cs="Arial"/>
          <w:noProof/>
          <w:sz w:val="24"/>
          <w:szCs w:val="24"/>
          <w:lang w:eastAsia="es-CL"/>
        </w:rPr>
        <w:t xml:space="preserve"> </w:t>
      </w:r>
      <w:r w:rsidRPr="009D262C">
        <w:rPr>
          <w:rFonts w:ascii="Arial" w:eastAsia="+mn-ea" w:hAnsi="Arial" w:cs="Arial"/>
          <w:bCs/>
          <w:color w:val="000000"/>
          <w:sz w:val="24"/>
          <w:szCs w:val="24"/>
          <w:lang w:val="es-ES"/>
        </w:rPr>
        <w:t xml:space="preserve">Así también </w:t>
      </w:r>
      <w:r w:rsidRPr="009D262C">
        <w:rPr>
          <w:rFonts w:ascii="Arial" w:hAnsi="Arial" w:cs="Arial"/>
          <w:sz w:val="24"/>
          <w:szCs w:val="24"/>
        </w:rPr>
        <w:t>Durante el año 2021, 17.499 personas recibieron sus medicamentos y alimento en domicilio.</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 xml:space="preserve">En cuanto a la rehabilitación de pacientes en </w:t>
      </w:r>
      <w:proofErr w:type="spellStart"/>
      <w:r w:rsidRPr="009D262C">
        <w:rPr>
          <w:rFonts w:ascii="Arial" w:hAnsi="Arial" w:cs="Arial"/>
          <w:sz w:val="24"/>
          <w:szCs w:val="24"/>
        </w:rPr>
        <w:t>domicilioen</w:t>
      </w:r>
      <w:proofErr w:type="spellEnd"/>
      <w:r w:rsidRPr="009D262C">
        <w:rPr>
          <w:rFonts w:ascii="Arial" w:hAnsi="Arial" w:cs="Arial"/>
          <w:sz w:val="24"/>
          <w:szCs w:val="24"/>
        </w:rPr>
        <w:t xml:space="preserve"> el año 2021 se realizaron 4378 atenciones a 105 personas en rehabilitación post </w:t>
      </w:r>
      <w:proofErr w:type="spellStart"/>
      <w:r w:rsidRPr="009D262C">
        <w:rPr>
          <w:rFonts w:ascii="Arial" w:hAnsi="Arial" w:cs="Arial"/>
          <w:sz w:val="24"/>
          <w:szCs w:val="24"/>
        </w:rPr>
        <w:t>covid</w:t>
      </w:r>
      <w:proofErr w:type="spellEnd"/>
      <w:r w:rsidRPr="009D262C">
        <w:rPr>
          <w:rFonts w:ascii="Arial" w:hAnsi="Arial" w:cs="Arial"/>
          <w:sz w:val="24"/>
          <w:szCs w:val="24"/>
        </w:rPr>
        <w:t>.</w:t>
      </w:r>
    </w:p>
    <w:p w:rsidR="009D262C" w:rsidRDefault="009D262C" w:rsidP="009D262C">
      <w:pPr>
        <w:spacing w:line="360" w:lineRule="auto"/>
        <w:jc w:val="both"/>
        <w:rPr>
          <w:rFonts w:ascii="Arial" w:eastAsia="Times New Roman" w:hAnsi="Arial" w:cs="Arial"/>
          <w:color w:val="000000"/>
          <w:sz w:val="24"/>
          <w:szCs w:val="24"/>
        </w:rPr>
      </w:pPr>
      <w:r w:rsidRPr="009D262C">
        <w:rPr>
          <w:rFonts w:ascii="Arial" w:hAnsi="Arial" w:cs="Arial"/>
          <w:sz w:val="24"/>
          <w:szCs w:val="24"/>
        </w:rPr>
        <w:t xml:space="preserve">La búsqueda activa de casos fue una estrategia para la detección de casos Covid-19 que el sistema de salud no ha pesquisado por consulta espontánea, puesto que la personas son asintomáticas a la enfermedad. Es muy importante señalar que durante el año 2021 se realizaron 142.653 test PCR y antígeno en modalidad de búsqueda activa de casos </w:t>
      </w:r>
      <w:r w:rsidRPr="009D262C">
        <w:rPr>
          <w:rFonts w:ascii="Arial" w:eastAsia="Times New Roman" w:hAnsi="Arial" w:cs="Arial"/>
          <w:color w:val="000000"/>
          <w:sz w:val="24"/>
          <w:szCs w:val="24"/>
        </w:rPr>
        <w:t xml:space="preserve">Durante el año 2021 se habilitaron en los trece CESFAM la toma de antígenos, se organizaron equipos de búsqueda activa de casos sintomáticos leves con esta técnica alcanzando una cantidad de 13.570 test de antígenos tomados.  </w:t>
      </w:r>
    </w:p>
    <w:p w:rsidR="009D262C" w:rsidRPr="009D262C" w:rsidRDefault="009D262C" w:rsidP="009D262C">
      <w:pPr>
        <w:spacing w:line="360" w:lineRule="auto"/>
        <w:jc w:val="both"/>
        <w:rPr>
          <w:rFonts w:ascii="Arial" w:hAnsi="Arial" w:cs="Arial"/>
          <w:sz w:val="24"/>
          <w:szCs w:val="24"/>
        </w:rPr>
      </w:pPr>
    </w:p>
    <w:p w:rsidR="009D262C" w:rsidRPr="009D262C" w:rsidRDefault="009D262C" w:rsidP="009D262C">
      <w:pPr>
        <w:pStyle w:val="Prrafodelista"/>
        <w:numPr>
          <w:ilvl w:val="0"/>
          <w:numId w:val="1"/>
        </w:numPr>
        <w:spacing w:line="360" w:lineRule="auto"/>
        <w:rPr>
          <w:rFonts w:ascii="Arial" w:hAnsi="Arial" w:cs="Arial"/>
          <w:sz w:val="24"/>
          <w:szCs w:val="24"/>
        </w:rPr>
      </w:pPr>
      <w:r w:rsidRPr="009D262C">
        <w:rPr>
          <w:rFonts w:ascii="Arial" w:eastAsia="+mn-ea" w:hAnsi="Arial" w:cs="Arial"/>
          <w:b/>
          <w:bCs/>
          <w:color w:val="000000"/>
          <w:sz w:val="24"/>
          <w:szCs w:val="24"/>
          <w:lang w:val="es-ES"/>
        </w:rPr>
        <w:lastRenderedPageBreak/>
        <w:t>Atención Remota</w:t>
      </w:r>
    </w:p>
    <w:p w:rsidR="009D262C" w:rsidRPr="009D262C" w:rsidRDefault="009D262C" w:rsidP="009D262C">
      <w:pPr>
        <w:spacing w:line="360" w:lineRule="auto"/>
        <w:jc w:val="both"/>
        <w:rPr>
          <w:rFonts w:ascii="Arial" w:eastAsia="+mn-ea" w:hAnsi="Arial" w:cs="Arial"/>
          <w:color w:val="000000"/>
          <w:sz w:val="24"/>
          <w:szCs w:val="24"/>
          <w:lang w:val="es-ES"/>
        </w:rPr>
      </w:pPr>
      <w:r w:rsidRPr="009D262C">
        <w:rPr>
          <w:rFonts w:ascii="Arial" w:eastAsia="+mn-ea" w:hAnsi="Arial" w:cs="Arial"/>
          <w:color w:val="000000"/>
          <w:sz w:val="24"/>
          <w:szCs w:val="24"/>
          <w:lang w:val="es-ES"/>
        </w:rPr>
        <w:t xml:space="preserve">Durante la pandemia se fortaleció la atención remota sobre todo para aquellos grupos prioritarios, a quienes por resguardo y protección no se pudo entregar una atención presencial en los establecimientos de salud. </w:t>
      </w:r>
      <w:proofErr w:type="spellStart"/>
      <w:r w:rsidRPr="009D262C">
        <w:rPr>
          <w:rFonts w:ascii="Arial" w:eastAsia="+mn-ea" w:hAnsi="Arial" w:cs="Arial"/>
          <w:color w:val="000000"/>
          <w:sz w:val="24"/>
          <w:szCs w:val="24"/>
          <w:lang w:val="es-ES"/>
        </w:rPr>
        <w:t>Sse</w:t>
      </w:r>
      <w:proofErr w:type="spellEnd"/>
      <w:r w:rsidRPr="009D262C">
        <w:rPr>
          <w:rFonts w:ascii="Arial" w:eastAsia="+mn-ea" w:hAnsi="Arial" w:cs="Arial"/>
          <w:color w:val="000000"/>
          <w:sz w:val="24"/>
          <w:szCs w:val="24"/>
          <w:lang w:val="es-ES"/>
        </w:rPr>
        <w:t xml:space="preserve"> realizaron 95.663 Seguimientos remotos y 7008 Consultas Médicas Remotas.</w:t>
      </w:r>
    </w:p>
    <w:p w:rsidR="009D262C" w:rsidRPr="009D262C" w:rsidRDefault="009D262C" w:rsidP="009D262C">
      <w:pPr>
        <w:pStyle w:val="Prrafodelista"/>
        <w:numPr>
          <w:ilvl w:val="0"/>
          <w:numId w:val="1"/>
        </w:numPr>
        <w:spacing w:line="360" w:lineRule="auto"/>
        <w:rPr>
          <w:rFonts w:ascii="Arial" w:hAnsi="Arial" w:cs="Arial"/>
          <w:sz w:val="24"/>
          <w:szCs w:val="24"/>
        </w:rPr>
      </w:pPr>
      <w:r w:rsidRPr="009D262C">
        <w:rPr>
          <w:rFonts w:ascii="Arial" w:eastAsia="+mn-ea" w:hAnsi="Arial" w:cs="Arial"/>
          <w:b/>
          <w:bCs/>
          <w:color w:val="000000"/>
          <w:sz w:val="24"/>
          <w:szCs w:val="24"/>
        </w:rPr>
        <w:t>Servicio de Alta Resolutividad (SAR) Centenario en la Comuna de Los Andes</w:t>
      </w:r>
    </w:p>
    <w:p w:rsidR="009D262C" w:rsidRPr="009D262C" w:rsidRDefault="009D262C" w:rsidP="009D262C">
      <w:pPr>
        <w:spacing w:line="360" w:lineRule="auto"/>
        <w:jc w:val="both"/>
        <w:rPr>
          <w:rFonts w:ascii="Arial" w:eastAsia="Times New Roman" w:hAnsi="Arial" w:cs="Arial"/>
          <w:color w:val="000000"/>
          <w:sz w:val="24"/>
          <w:szCs w:val="24"/>
          <w:lang w:val="es-ES"/>
        </w:rPr>
      </w:pPr>
      <w:r w:rsidRPr="009D262C">
        <w:rPr>
          <w:rFonts w:ascii="Arial" w:eastAsia="Times New Roman" w:hAnsi="Arial" w:cs="Arial"/>
          <w:color w:val="000000"/>
          <w:sz w:val="24"/>
          <w:szCs w:val="24"/>
          <w:lang w:val="es-ES"/>
        </w:rPr>
        <w:t xml:space="preserve">El SAR Centenario abrió sus puertas a la comunidad el día 13.04.2021 y desde esa fecha a diciembre </w:t>
      </w:r>
      <w:r w:rsidRPr="009D262C">
        <w:rPr>
          <w:rFonts w:ascii="Arial" w:eastAsia="Times New Roman" w:hAnsi="Arial" w:cs="Arial"/>
          <w:sz w:val="24"/>
          <w:szCs w:val="24"/>
          <w:lang w:val="es-ES"/>
        </w:rPr>
        <w:t>ha entregado 14.518</w:t>
      </w:r>
      <w:r w:rsidRPr="009D262C">
        <w:rPr>
          <w:rFonts w:ascii="Arial" w:eastAsia="Times New Roman" w:hAnsi="Arial" w:cs="Arial"/>
          <w:color w:val="000000"/>
          <w:sz w:val="24"/>
          <w:szCs w:val="24"/>
          <w:lang w:val="es-ES"/>
        </w:rPr>
        <w:t xml:space="preserve">. </w:t>
      </w:r>
      <w:proofErr w:type="gramStart"/>
      <w:r w:rsidRPr="009D262C">
        <w:rPr>
          <w:rFonts w:ascii="Arial" w:eastAsia="Times New Roman" w:hAnsi="Arial" w:cs="Arial"/>
          <w:color w:val="000000"/>
          <w:sz w:val="24"/>
          <w:szCs w:val="24"/>
          <w:lang w:val="es-ES"/>
        </w:rPr>
        <w:t>atenciones</w:t>
      </w:r>
      <w:proofErr w:type="gramEnd"/>
      <w:r w:rsidRPr="009D262C">
        <w:rPr>
          <w:rFonts w:ascii="Arial" w:eastAsia="Times New Roman" w:hAnsi="Arial" w:cs="Arial"/>
          <w:color w:val="000000"/>
          <w:sz w:val="24"/>
          <w:szCs w:val="24"/>
          <w:lang w:val="es-ES"/>
        </w:rPr>
        <w:t>.</w:t>
      </w:r>
    </w:p>
    <w:p w:rsidR="009D262C" w:rsidRPr="009D262C" w:rsidRDefault="009D262C" w:rsidP="009D262C">
      <w:pPr>
        <w:spacing w:line="360" w:lineRule="auto"/>
        <w:jc w:val="both"/>
        <w:rPr>
          <w:rFonts w:ascii="Arial" w:hAnsi="Arial" w:cs="Arial"/>
          <w:sz w:val="24"/>
          <w:szCs w:val="24"/>
        </w:rPr>
      </w:pPr>
      <w:r w:rsidRPr="009D262C">
        <w:rPr>
          <w:rFonts w:ascii="Arial" w:eastAsia="+mn-ea" w:hAnsi="Arial" w:cs="Arial"/>
          <w:b/>
          <w:bCs/>
          <w:color w:val="000000"/>
          <w:sz w:val="24"/>
          <w:szCs w:val="24"/>
        </w:rPr>
        <w:t>Avances en la implementación ECICEP</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 xml:space="preserve">Los equipos de salud desde el año 2020 se </w:t>
      </w:r>
      <w:proofErr w:type="gramStart"/>
      <w:r w:rsidRPr="009D262C">
        <w:rPr>
          <w:rFonts w:ascii="Arial" w:hAnsi="Arial" w:cs="Arial"/>
          <w:sz w:val="24"/>
          <w:szCs w:val="24"/>
        </w:rPr>
        <w:t>implementó</w:t>
      </w:r>
      <w:proofErr w:type="gramEnd"/>
      <w:r w:rsidRPr="009D262C">
        <w:rPr>
          <w:rFonts w:ascii="Arial" w:hAnsi="Arial" w:cs="Arial"/>
          <w:sz w:val="24"/>
          <w:szCs w:val="24"/>
        </w:rPr>
        <w:t xml:space="preserve"> la ESTRATEGIA DE CUIDADOS INTEGRALES ECICEP en todos los establecimientos de la red de APS de este servicio de salud. Entregando una nueva mirada y forma de atender centrada en la persona, integral y multidisciplinaria por el equipo de salud estableciendo un plan de cuidado consensuado con el usuario.  </w:t>
      </w:r>
    </w:p>
    <w:p w:rsidR="009D262C" w:rsidRPr="009D262C" w:rsidRDefault="009D262C" w:rsidP="009D262C">
      <w:pPr>
        <w:spacing w:line="360" w:lineRule="auto"/>
        <w:jc w:val="both"/>
        <w:rPr>
          <w:rFonts w:ascii="Arial" w:eastAsia="+mn-ea" w:hAnsi="Arial" w:cs="Arial"/>
          <w:b/>
          <w:color w:val="000000"/>
          <w:sz w:val="24"/>
          <w:szCs w:val="24"/>
        </w:rPr>
      </w:pPr>
      <w:r w:rsidRPr="009D262C">
        <w:rPr>
          <w:rFonts w:ascii="Arial" w:eastAsia="+mn-ea" w:hAnsi="Arial" w:cs="Arial"/>
          <w:b/>
          <w:color w:val="000000"/>
          <w:sz w:val="24"/>
          <w:szCs w:val="24"/>
        </w:rPr>
        <w:t>Vacunación</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 xml:space="preserve">El año 2021 se administraron un total de 676.159 dosis. </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 xml:space="preserve">Por lo tanto el Porcentaje de cobertura al 31 de diciembre 2021 en la </w:t>
      </w:r>
      <w:proofErr w:type="spellStart"/>
      <w:r w:rsidRPr="009D262C">
        <w:rPr>
          <w:rFonts w:ascii="Arial" w:hAnsi="Arial" w:cs="Arial"/>
          <w:sz w:val="24"/>
          <w:szCs w:val="24"/>
        </w:rPr>
        <w:t>complelitud</w:t>
      </w:r>
      <w:proofErr w:type="spellEnd"/>
      <w:r w:rsidRPr="009D262C">
        <w:rPr>
          <w:rFonts w:ascii="Arial" w:hAnsi="Arial" w:cs="Arial"/>
          <w:sz w:val="24"/>
          <w:szCs w:val="24"/>
        </w:rPr>
        <w:t xml:space="preserve"> de esquemas de vacunación es:</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w:t>
      </w:r>
      <w:r w:rsidRPr="009D262C">
        <w:rPr>
          <w:rFonts w:ascii="Arial" w:hAnsi="Arial" w:cs="Arial"/>
          <w:sz w:val="24"/>
          <w:szCs w:val="24"/>
        </w:rPr>
        <w:tab/>
        <w:t>Para mayores de 18 años 96.7%</w:t>
      </w:r>
    </w:p>
    <w:p w:rsidR="009D262C" w:rsidRPr="009D262C" w:rsidRDefault="009D262C" w:rsidP="009D262C">
      <w:pPr>
        <w:spacing w:line="360" w:lineRule="auto"/>
        <w:jc w:val="both"/>
        <w:rPr>
          <w:rFonts w:ascii="Arial" w:hAnsi="Arial" w:cs="Arial"/>
          <w:sz w:val="24"/>
          <w:szCs w:val="24"/>
        </w:rPr>
      </w:pPr>
      <w:r w:rsidRPr="009D262C">
        <w:rPr>
          <w:rFonts w:ascii="Arial" w:hAnsi="Arial" w:cs="Arial"/>
          <w:sz w:val="24"/>
          <w:szCs w:val="24"/>
        </w:rPr>
        <w:t>-</w:t>
      </w:r>
      <w:r w:rsidRPr="009D262C">
        <w:rPr>
          <w:rFonts w:ascii="Arial" w:hAnsi="Arial" w:cs="Arial"/>
          <w:sz w:val="24"/>
          <w:szCs w:val="24"/>
        </w:rPr>
        <w:tab/>
        <w:t>Y de 12 a 18 años 72.3%</w:t>
      </w:r>
    </w:p>
    <w:p w:rsidR="009D262C" w:rsidRDefault="009D262C" w:rsidP="009D262C">
      <w:pPr>
        <w:spacing w:line="360" w:lineRule="auto"/>
        <w:jc w:val="both"/>
        <w:rPr>
          <w:rFonts w:ascii="Arial" w:hAnsi="Arial" w:cs="Arial"/>
          <w:sz w:val="24"/>
          <w:szCs w:val="24"/>
        </w:rPr>
      </w:pPr>
      <w:r w:rsidRPr="009D262C">
        <w:rPr>
          <w:rFonts w:ascii="Arial" w:hAnsi="Arial" w:cs="Arial"/>
          <w:sz w:val="24"/>
          <w:szCs w:val="24"/>
        </w:rPr>
        <w:t xml:space="preserve">A la fecha se continúa el trabajo en todos los puntos de vacunación sumándose este año 2022 la inoculación de una 4ta dosis que nos ha permitido afrontar la pandemia de mejor manera.  </w:t>
      </w:r>
    </w:p>
    <w:p w:rsidR="009D262C" w:rsidRPr="009D262C" w:rsidRDefault="009D262C" w:rsidP="009D262C">
      <w:pPr>
        <w:spacing w:line="360" w:lineRule="auto"/>
        <w:jc w:val="both"/>
        <w:rPr>
          <w:rFonts w:ascii="Arial" w:hAnsi="Arial" w:cs="Arial"/>
          <w:sz w:val="24"/>
          <w:szCs w:val="24"/>
        </w:rPr>
      </w:pPr>
    </w:p>
    <w:p w:rsidR="009D262C" w:rsidRPr="009D262C" w:rsidRDefault="009D262C" w:rsidP="009D262C">
      <w:pPr>
        <w:spacing w:after="160" w:line="360" w:lineRule="auto"/>
        <w:rPr>
          <w:rFonts w:ascii="Arial" w:eastAsiaTheme="minorHAnsi" w:hAnsi="Arial" w:cs="Arial"/>
          <w:b/>
          <w:sz w:val="24"/>
          <w:szCs w:val="24"/>
          <w:lang w:val="es-ES"/>
        </w:rPr>
      </w:pPr>
      <w:r w:rsidRPr="009D262C">
        <w:rPr>
          <w:rFonts w:ascii="Arial" w:eastAsiaTheme="minorHAnsi" w:hAnsi="Arial" w:cs="Arial"/>
          <w:b/>
          <w:sz w:val="24"/>
          <w:szCs w:val="24"/>
          <w:lang w:val="es-ES"/>
        </w:rPr>
        <w:lastRenderedPageBreak/>
        <w:t>Gestión de Camas</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El 2021 la Pandemia de COVID-19 tuvo circunstancias diferentes. Ya no era la misma incertidumbre del 2020, habían más certezas, pero también nuevas dificultades. Implementamos un crecimiento de camas críticas nunca antes visto en Aconcagua. Pasamos de tener 6 camas en el Hospital San Camilo, a tener 39 en toda nuestra red en el peor momento de la pandemia, distribuyendo 23 en San Felipe y 16 en Los Andes, las que no sólo recibieron personas de Aconcagua, si no también de otras regiones. Hoy, podemos decir con propiedad que hemos logrado algo histórico en esta gestión, ya que tendremos 12 camas críticas en el Hospital San Camilo y 6 en el Hospital San Juan de Dios de modo permanente, dotando por primera vez a Los Andes de una unidad de paciente crítico, la que se incorporará como un servicio más al establecimiento.</w:t>
      </w:r>
    </w:p>
    <w:p w:rsidR="009D262C" w:rsidRPr="009D262C" w:rsidRDefault="009D262C" w:rsidP="009D262C">
      <w:pPr>
        <w:spacing w:after="160" w:line="360" w:lineRule="auto"/>
        <w:rPr>
          <w:rFonts w:ascii="Arial" w:eastAsiaTheme="minorHAnsi" w:hAnsi="Arial" w:cs="Arial"/>
          <w:b/>
          <w:sz w:val="24"/>
          <w:szCs w:val="24"/>
          <w:lang w:val="es-ES"/>
        </w:rPr>
      </w:pPr>
      <w:r w:rsidRPr="009D262C">
        <w:rPr>
          <w:rFonts w:ascii="Arial" w:eastAsiaTheme="minorHAnsi" w:hAnsi="Arial" w:cs="Arial"/>
          <w:b/>
          <w:sz w:val="24"/>
          <w:szCs w:val="24"/>
          <w:lang w:val="es-ES"/>
        </w:rPr>
        <w:t>Implementación policlínico de tratamiento anticoagulante oral (TACO) en la red asistencial</w:t>
      </w:r>
    </w:p>
    <w:p w:rsidR="009D262C" w:rsidRPr="009D262C" w:rsidRDefault="009D262C" w:rsidP="009D262C">
      <w:pPr>
        <w:spacing w:after="160" w:line="360" w:lineRule="auto"/>
        <w:jc w:val="both"/>
        <w:rPr>
          <w:rFonts w:ascii="Arial" w:eastAsiaTheme="minorHAnsi" w:hAnsi="Arial" w:cs="Arial"/>
          <w:sz w:val="24"/>
          <w:szCs w:val="24"/>
          <w:lang w:val="es-ES"/>
        </w:rPr>
      </w:pPr>
      <w:r w:rsidRPr="009D262C">
        <w:rPr>
          <w:rFonts w:ascii="Arial" w:eastAsiaTheme="minorHAnsi" w:hAnsi="Arial" w:cs="Arial"/>
          <w:sz w:val="24"/>
          <w:szCs w:val="24"/>
          <w:lang w:val="es-ES"/>
        </w:rPr>
        <w:t>Implementamos un nuevo sistema de toma de exámenes para pacientes en control de tratamiento anticoagulante, inicialmente en el Hospital San Camilo y San Juan de</w:t>
      </w:r>
      <w:r w:rsidR="000A4F90">
        <w:rPr>
          <w:rFonts w:ascii="Arial" w:eastAsiaTheme="minorHAnsi" w:hAnsi="Arial" w:cs="Arial"/>
          <w:sz w:val="24"/>
          <w:szCs w:val="24"/>
          <w:lang w:val="es-ES"/>
        </w:rPr>
        <w:t xml:space="preserve"> Dios y posteriormente en los </w:t>
      </w:r>
      <w:r w:rsidRPr="009D262C">
        <w:rPr>
          <w:rFonts w:ascii="Arial" w:eastAsiaTheme="minorHAnsi" w:hAnsi="Arial" w:cs="Arial"/>
          <w:sz w:val="24"/>
          <w:szCs w:val="24"/>
          <w:lang w:val="es-ES"/>
        </w:rPr>
        <w:t xml:space="preserve">hospitales San Francisco de Llay </w:t>
      </w:r>
      <w:proofErr w:type="spellStart"/>
      <w:r w:rsidRPr="009D262C">
        <w:rPr>
          <w:rFonts w:ascii="Arial" w:eastAsiaTheme="minorHAnsi" w:hAnsi="Arial" w:cs="Arial"/>
          <w:sz w:val="24"/>
          <w:szCs w:val="24"/>
          <w:lang w:val="es-ES"/>
        </w:rPr>
        <w:t>Llay</w:t>
      </w:r>
      <w:proofErr w:type="spellEnd"/>
      <w:r w:rsidRPr="009D262C">
        <w:rPr>
          <w:rFonts w:ascii="Arial" w:eastAsiaTheme="minorHAnsi" w:hAnsi="Arial" w:cs="Arial"/>
          <w:sz w:val="24"/>
          <w:szCs w:val="24"/>
          <w:lang w:val="es-ES"/>
        </w:rPr>
        <w:t xml:space="preserve"> y San Antonio de Putaendo.</w:t>
      </w:r>
    </w:p>
    <w:p w:rsidR="009D262C" w:rsidRPr="009D262C" w:rsidRDefault="009D262C" w:rsidP="009D262C">
      <w:pPr>
        <w:spacing w:after="160" w:line="360" w:lineRule="auto"/>
        <w:jc w:val="both"/>
        <w:rPr>
          <w:rFonts w:ascii="Arial" w:eastAsiaTheme="minorHAnsi" w:hAnsi="Arial" w:cs="Arial"/>
          <w:sz w:val="24"/>
          <w:szCs w:val="24"/>
          <w:lang w:val="es-ES"/>
        </w:rPr>
      </w:pPr>
      <w:r w:rsidRPr="009D262C">
        <w:rPr>
          <w:rFonts w:ascii="Arial" w:eastAsiaTheme="minorHAnsi" w:hAnsi="Arial" w:cs="Arial"/>
          <w:sz w:val="24"/>
          <w:szCs w:val="24"/>
          <w:lang w:val="es-ES"/>
        </w:rPr>
        <w:t xml:space="preserve">A la fecha en San Felipe hay 800 pacientes en control, en Los Andes 597, en Putaendo 57 y en Llay </w:t>
      </w:r>
      <w:proofErr w:type="spellStart"/>
      <w:r w:rsidRPr="009D262C">
        <w:rPr>
          <w:rFonts w:ascii="Arial" w:eastAsiaTheme="minorHAnsi" w:hAnsi="Arial" w:cs="Arial"/>
          <w:sz w:val="24"/>
          <w:szCs w:val="24"/>
          <w:lang w:val="es-ES"/>
        </w:rPr>
        <w:t>Llay</w:t>
      </w:r>
      <w:proofErr w:type="spellEnd"/>
      <w:r w:rsidRPr="009D262C">
        <w:rPr>
          <w:rFonts w:ascii="Arial" w:eastAsiaTheme="minorHAnsi" w:hAnsi="Arial" w:cs="Arial"/>
          <w:sz w:val="24"/>
          <w:szCs w:val="24"/>
          <w:lang w:val="es-ES"/>
        </w:rPr>
        <w:t xml:space="preserve"> 10, permitiendo con ello mejorar la atención de los usuarios en control con </w:t>
      </w:r>
      <w:r w:rsidRPr="009D262C">
        <w:rPr>
          <w:rFonts w:ascii="Arial" w:eastAsiaTheme="minorHAnsi" w:hAnsi="Arial" w:cs="Arial"/>
          <w:sz w:val="24"/>
          <w:szCs w:val="24"/>
        </w:rPr>
        <w:t xml:space="preserve">tratamiento anticoagulante oral, </w:t>
      </w:r>
      <w:r w:rsidRPr="009D262C">
        <w:rPr>
          <w:rFonts w:ascii="Arial" w:eastAsiaTheme="minorHAnsi" w:hAnsi="Arial" w:cs="Arial"/>
          <w:sz w:val="24"/>
          <w:szCs w:val="24"/>
          <w:lang w:val="es-ES"/>
        </w:rPr>
        <w:t xml:space="preserve">acercar la atención de especialidad a los hospitales de la familia y la comunidad mejorando el acceso de la atención de los usuarios según territorialidad. </w:t>
      </w:r>
    </w:p>
    <w:p w:rsidR="009D262C" w:rsidRPr="009D262C" w:rsidRDefault="009D262C" w:rsidP="009D262C">
      <w:pPr>
        <w:spacing w:after="0" w:line="360" w:lineRule="auto"/>
        <w:jc w:val="both"/>
        <w:rPr>
          <w:rFonts w:ascii="Arial" w:eastAsiaTheme="minorHAnsi" w:hAnsi="Arial" w:cs="Arial"/>
          <w:sz w:val="24"/>
          <w:szCs w:val="24"/>
          <w:lang w:val="es-ES"/>
        </w:rPr>
      </w:pPr>
    </w:p>
    <w:p w:rsidR="009D262C" w:rsidRDefault="009D262C" w:rsidP="009D262C">
      <w:pPr>
        <w:spacing w:after="160" w:line="360" w:lineRule="auto"/>
        <w:jc w:val="both"/>
        <w:rPr>
          <w:rFonts w:ascii="Arial" w:eastAsiaTheme="minorHAnsi" w:hAnsi="Arial" w:cs="Arial"/>
          <w:sz w:val="24"/>
          <w:szCs w:val="24"/>
          <w:lang w:val="es-ES"/>
        </w:rPr>
      </w:pPr>
    </w:p>
    <w:p w:rsidR="009D262C" w:rsidRDefault="009D262C" w:rsidP="009D262C">
      <w:pPr>
        <w:spacing w:after="160" w:line="360" w:lineRule="auto"/>
        <w:jc w:val="both"/>
        <w:rPr>
          <w:rFonts w:ascii="Arial" w:eastAsiaTheme="minorHAnsi" w:hAnsi="Arial" w:cs="Arial"/>
          <w:sz w:val="24"/>
          <w:szCs w:val="24"/>
          <w:lang w:val="es-ES"/>
        </w:rPr>
      </w:pPr>
    </w:p>
    <w:p w:rsidR="009D262C" w:rsidRDefault="009D262C" w:rsidP="009D262C">
      <w:pPr>
        <w:spacing w:after="160" w:line="360" w:lineRule="auto"/>
        <w:jc w:val="both"/>
        <w:rPr>
          <w:rFonts w:ascii="Arial" w:eastAsiaTheme="minorHAnsi" w:hAnsi="Arial" w:cs="Arial"/>
          <w:sz w:val="24"/>
          <w:szCs w:val="24"/>
          <w:lang w:val="es-ES"/>
        </w:rPr>
      </w:pPr>
    </w:p>
    <w:p w:rsidR="009D262C" w:rsidRPr="009D262C" w:rsidRDefault="009D262C" w:rsidP="009D262C">
      <w:pPr>
        <w:spacing w:after="160" w:line="360" w:lineRule="auto"/>
        <w:jc w:val="both"/>
        <w:rPr>
          <w:rFonts w:ascii="Arial" w:eastAsiaTheme="minorHAnsi" w:hAnsi="Arial" w:cs="Arial"/>
          <w:sz w:val="24"/>
          <w:szCs w:val="24"/>
          <w:lang w:val="es-ES"/>
        </w:rPr>
      </w:pPr>
    </w:p>
    <w:p w:rsidR="009D262C" w:rsidRPr="009D262C" w:rsidRDefault="009D262C" w:rsidP="009D262C">
      <w:pPr>
        <w:spacing w:after="160" w:line="360" w:lineRule="auto"/>
        <w:jc w:val="both"/>
        <w:rPr>
          <w:rFonts w:ascii="Arial" w:eastAsiaTheme="minorHAnsi" w:hAnsi="Arial" w:cs="Arial"/>
          <w:b/>
          <w:sz w:val="24"/>
          <w:szCs w:val="24"/>
        </w:rPr>
      </w:pPr>
      <w:r w:rsidRPr="009D262C">
        <w:rPr>
          <w:rFonts w:ascii="Arial" w:eastAsiaTheme="minorHAnsi" w:hAnsi="Arial" w:cs="Arial"/>
          <w:b/>
          <w:sz w:val="24"/>
          <w:szCs w:val="24"/>
        </w:rPr>
        <w:lastRenderedPageBreak/>
        <w:t>Salud Digital en Aconcagua</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Se realizaron 6.948 atenciones de telemedicina en modalidad sincrónica de especialidad en el nivel secundario, estas especialidades logrando </w:t>
      </w:r>
      <w:proofErr w:type="spellStart"/>
      <w:r w:rsidRPr="009D262C">
        <w:rPr>
          <w:rFonts w:ascii="Arial" w:eastAsiaTheme="minorHAnsi" w:hAnsi="Arial" w:cs="Arial"/>
          <w:sz w:val="24"/>
          <w:szCs w:val="24"/>
        </w:rPr>
        <w:t>disponibilizar</w:t>
      </w:r>
      <w:proofErr w:type="spellEnd"/>
      <w:r w:rsidRPr="009D262C">
        <w:rPr>
          <w:rFonts w:ascii="Arial" w:eastAsiaTheme="minorHAnsi" w:hAnsi="Arial" w:cs="Arial"/>
          <w:sz w:val="24"/>
          <w:szCs w:val="24"/>
        </w:rPr>
        <w:t xml:space="preserve"> en la red una modalidad de atención a nuestros usuarios sin precedentes.  Se aportaron a través del Hospital Digital  se realizaron 1244 atenciones de medicina interna contribuyendo a disminuir la Lista de Espera no GES para esta especialidad.</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En cuanto a la atención asincrónica en la Red de APS, se realizaron 593 atenciones de diversas especialidades médicas y 62 atenciones asincrónicas de especialidad odontológica de Patología Oral, contribuyendo a acercar la atención de especialista a los CESFAM </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Respecto a la Estrategia Hospital Digital Rural que brinda atención médica en postas de salud rural (PSR) a través de Hospital Digital, durante el año 2021 se sumaron las PSR de San Vicente de Calle Larga, SUR y CECOSF de Catemu se han realizado 38 de estas atenciones.</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En cuanto al acceso a </w:t>
      </w:r>
      <w:proofErr w:type="spellStart"/>
      <w:r w:rsidRPr="009D262C">
        <w:rPr>
          <w:rFonts w:ascii="Arial" w:eastAsiaTheme="minorHAnsi" w:hAnsi="Arial" w:cs="Arial"/>
          <w:sz w:val="24"/>
          <w:szCs w:val="24"/>
        </w:rPr>
        <w:t>teleinformes</w:t>
      </w:r>
      <w:proofErr w:type="spellEnd"/>
      <w:r w:rsidRPr="009D262C">
        <w:rPr>
          <w:rFonts w:ascii="Arial" w:eastAsiaTheme="minorHAnsi" w:hAnsi="Arial" w:cs="Arial"/>
          <w:sz w:val="24"/>
          <w:szCs w:val="24"/>
        </w:rPr>
        <w:t xml:space="preserve">, se realizaron 5.746 informes de mamografía correspondientes a los 3 </w:t>
      </w:r>
      <w:proofErr w:type="spellStart"/>
      <w:r w:rsidRPr="009D262C">
        <w:rPr>
          <w:rFonts w:ascii="Arial" w:eastAsiaTheme="minorHAnsi" w:hAnsi="Arial" w:cs="Arial"/>
          <w:sz w:val="24"/>
          <w:szCs w:val="24"/>
        </w:rPr>
        <w:t>mamógrafos</w:t>
      </w:r>
      <w:proofErr w:type="spellEnd"/>
      <w:r w:rsidRPr="009D262C">
        <w:rPr>
          <w:rFonts w:ascii="Arial" w:eastAsiaTheme="minorHAnsi" w:hAnsi="Arial" w:cs="Arial"/>
          <w:sz w:val="24"/>
          <w:szCs w:val="24"/>
        </w:rPr>
        <w:t xml:space="preserve"> existentes en Aconcagua, 1.160 informes de TAC y 4.225 informes de </w:t>
      </w:r>
      <w:proofErr w:type="spellStart"/>
      <w:r w:rsidRPr="009D262C">
        <w:rPr>
          <w:rFonts w:ascii="Arial" w:eastAsiaTheme="minorHAnsi" w:hAnsi="Arial" w:cs="Arial"/>
          <w:sz w:val="24"/>
          <w:szCs w:val="24"/>
        </w:rPr>
        <w:t>teleoftalmología</w:t>
      </w:r>
      <w:proofErr w:type="spellEnd"/>
      <w:r w:rsidRPr="009D262C">
        <w:rPr>
          <w:rFonts w:ascii="Arial" w:eastAsiaTheme="minorHAnsi" w:hAnsi="Arial" w:cs="Arial"/>
          <w:sz w:val="24"/>
          <w:szCs w:val="24"/>
        </w:rPr>
        <w:t>.</w:t>
      </w:r>
    </w:p>
    <w:p w:rsidR="009D262C" w:rsidRPr="009D262C" w:rsidRDefault="009D262C" w:rsidP="009D262C">
      <w:pPr>
        <w:spacing w:after="160" w:line="360" w:lineRule="auto"/>
        <w:jc w:val="both"/>
        <w:rPr>
          <w:rFonts w:ascii="Arial" w:eastAsiaTheme="minorHAnsi" w:hAnsi="Arial" w:cs="Arial"/>
          <w:b/>
          <w:sz w:val="24"/>
          <w:szCs w:val="24"/>
        </w:rPr>
      </w:pPr>
      <w:r w:rsidRPr="009D262C">
        <w:rPr>
          <w:rFonts w:ascii="Arial" w:eastAsiaTheme="minorHAnsi" w:hAnsi="Arial" w:cs="Arial"/>
          <w:b/>
          <w:sz w:val="24"/>
          <w:szCs w:val="24"/>
        </w:rPr>
        <w:t>Atención Oncológica</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El Plan Nacional de Cáncer impulsado por el Ministerio de Salud, nos ha llevado a enfatizar en la ampliación de prestaciones de diagnóstico, tratamiento y seguimiento de nuestros pacientes y marcar una ruta de desarrollo que nos permita ampliar nuestras carteras de prestaciones. </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Dentro del desarrollo oncológico de la red a fines del 2021 se comienza a proyectarse la implementación en el Hospital San Camilo de San Felipe de un Unidad Hematooncológico H1, que será un centro que realizará diagnóstico y </w:t>
      </w:r>
      <w:proofErr w:type="spellStart"/>
      <w:r w:rsidRPr="009D262C">
        <w:rPr>
          <w:rFonts w:ascii="Arial" w:eastAsiaTheme="minorHAnsi" w:hAnsi="Arial" w:cs="Arial"/>
          <w:sz w:val="24"/>
          <w:szCs w:val="24"/>
        </w:rPr>
        <w:t>etapificación</w:t>
      </w:r>
      <w:proofErr w:type="spellEnd"/>
      <w:r w:rsidRPr="009D262C">
        <w:rPr>
          <w:rFonts w:ascii="Arial" w:eastAsiaTheme="minorHAnsi" w:hAnsi="Arial" w:cs="Arial"/>
          <w:sz w:val="24"/>
          <w:szCs w:val="24"/>
        </w:rPr>
        <w:t xml:space="preserve"> de patologías oncológicas de agresividad baja o intermedia, tratamiento de patología con Quimioterapia oral o paliativa y seguimiento una vez finalizado el tratamiento. </w:t>
      </w:r>
    </w:p>
    <w:p w:rsidR="009D262C" w:rsidRDefault="009D262C" w:rsidP="009D262C">
      <w:pPr>
        <w:spacing w:after="160" w:line="360" w:lineRule="auto"/>
        <w:jc w:val="both"/>
        <w:rPr>
          <w:rFonts w:ascii="Arial" w:eastAsiaTheme="minorHAnsi" w:hAnsi="Arial" w:cs="Arial"/>
          <w:sz w:val="24"/>
          <w:szCs w:val="24"/>
        </w:rPr>
      </w:pPr>
      <w:r>
        <w:rPr>
          <w:rFonts w:ascii="Arial" w:eastAsiaTheme="minorHAnsi" w:hAnsi="Arial" w:cs="Arial"/>
          <w:sz w:val="24"/>
          <w:szCs w:val="24"/>
        </w:rPr>
        <w:lastRenderedPageBreak/>
        <w:t>Departamento de Gestión en Red</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A pesar de la pandemia del COVID-19 y las restricciones que trajo consigo para el abordaje de otras actividades asistenciales, se trabajó en conjunto con el Ministerio de Educación en la creación de las Aulas Hospitalarias dando acceso a la educación a niños y adultos menores de 21 años, durante su hospitalización o bien que presenten patologías crónicas que hayan impedido su formación, entregando esta prestación en HOSCA, HLL y HPP.</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Se realizó evaluación y acreditación de la estrategia Hospital Amigo en los 5 hospitales de la red, modificando la modalidad de visita presencial por entrega de información vía telemática a familiares en los momentos más críticos de la pandemia.</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En el ámbito de farmacia se incorporaron nuevas prestaciones de alto costo asociadas a la ley Ricarte Soto, como Nutrición Enteral Domiciliaria, Enfermedad de Crohn y Colitis Ulcerosa,  para todos quienes resulten beneficiarios sin la necesidad de que los pacientes se trasladen a otros servicios de salud de la quinta región.</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Se trabajó en la elaboración del proyecto de reposición TAC del HOSLA de forma exitosa contando con un equipo de alta gama de 32 canales en dicho establecimiento.</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Consolidación de los laboratorios de Biología Molecular en los hospitales de mayor complejidad y la instalación del diagnóstico de COVID-19 en todos los establecimientos de APS.</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A través de proyectos financiados por el Gobierno Regional se lograron reponer 40 equipos clínicos por un monto total de $320 millones de pesos. </w:t>
      </w:r>
    </w:p>
    <w:p w:rsid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Se continuó trabajando en el proyecto de Normalización del Hospital San Camilo de San Felipe (EPH) el cual posee un 90% de avance. </w:t>
      </w:r>
    </w:p>
    <w:p w:rsidR="009D262C" w:rsidRDefault="009D262C" w:rsidP="009D262C">
      <w:pPr>
        <w:spacing w:after="160" w:line="360" w:lineRule="auto"/>
        <w:jc w:val="both"/>
        <w:rPr>
          <w:rFonts w:ascii="Arial" w:eastAsiaTheme="minorHAnsi" w:hAnsi="Arial" w:cs="Arial"/>
          <w:b/>
          <w:sz w:val="24"/>
          <w:szCs w:val="24"/>
          <w:u w:val="single"/>
        </w:rPr>
      </w:pPr>
    </w:p>
    <w:p w:rsidR="009D262C" w:rsidRDefault="009D262C" w:rsidP="009D262C">
      <w:pPr>
        <w:spacing w:after="160" w:line="360" w:lineRule="auto"/>
        <w:jc w:val="both"/>
        <w:rPr>
          <w:rFonts w:ascii="Arial" w:eastAsiaTheme="minorHAnsi" w:hAnsi="Arial" w:cs="Arial"/>
          <w:b/>
          <w:sz w:val="24"/>
          <w:szCs w:val="24"/>
          <w:u w:val="single"/>
        </w:rPr>
      </w:pPr>
    </w:p>
    <w:p w:rsidR="009D262C" w:rsidRPr="009D262C" w:rsidRDefault="009D262C" w:rsidP="009D262C">
      <w:pPr>
        <w:spacing w:after="160" w:line="360" w:lineRule="auto"/>
        <w:jc w:val="both"/>
        <w:rPr>
          <w:rFonts w:ascii="Arial" w:eastAsiaTheme="minorHAnsi" w:hAnsi="Arial" w:cs="Arial"/>
          <w:b/>
          <w:sz w:val="24"/>
          <w:szCs w:val="24"/>
          <w:u w:val="single"/>
        </w:rPr>
      </w:pPr>
      <w:r w:rsidRPr="009D262C">
        <w:rPr>
          <w:rFonts w:ascii="Arial" w:eastAsiaTheme="minorHAnsi" w:hAnsi="Arial" w:cs="Arial"/>
          <w:b/>
          <w:sz w:val="24"/>
          <w:szCs w:val="24"/>
          <w:u w:val="single"/>
        </w:rPr>
        <w:lastRenderedPageBreak/>
        <w:t>Inversiones</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Durante el 2021, cumplimos con uno de los objetivos principales de nuestra cartera de inversiones, como es terminar la obra física del Hospital Philippe Pinel de Putaendo, lo que representa una mejora enorme en cuanto a las condiciones para los usuarios y funcionarios. Esta inversión, de más de 37.000 millones de pesos, permite terminar un trabajo que empezó el año 2013 y que hoy es una realidad.</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Iniciamos las obras de los nuevos CESFAM de San Esteban y Rinconada, los que son parte del convenio de programación GORE – MINSAL y que permitirán que a mediados del 2023 estas comunas cuenten con un establecimiento moderno y con condiciones adecuadas para la atención de la comunidad. Ambas inversiones superan los 3.000 millones de pesos. Además seguimos trabajando en el desarrollo de los proyectos de nuevos CESFAM para Curimón y Putaendo, así como las postas para Catemu, Llay </w:t>
      </w:r>
      <w:proofErr w:type="spellStart"/>
      <w:r w:rsidRPr="009D262C">
        <w:rPr>
          <w:rFonts w:ascii="Arial" w:eastAsiaTheme="minorHAnsi" w:hAnsi="Arial" w:cs="Arial"/>
          <w:sz w:val="24"/>
          <w:szCs w:val="24"/>
        </w:rPr>
        <w:t>Llay</w:t>
      </w:r>
      <w:proofErr w:type="spellEnd"/>
      <w:r w:rsidRPr="009D262C">
        <w:rPr>
          <w:rFonts w:ascii="Arial" w:eastAsiaTheme="minorHAnsi" w:hAnsi="Arial" w:cs="Arial"/>
          <w:sz w:val="24"/>
          <w:szCs w:val="24"/>
        </w:rPr>
        <w:t xml:space="preserve"> y Los Andes, las que esperamos se concreten dentro de los próximos años.</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Cumplimos el compromiso con la comunidad Calle Larga, donde gracias a una inversión del Ministerio de Salud por $120 millones, los vecinos de San Vicente cuentan con una nueva posta, lo que sin dudas es una acción de equidad hacia este sector. </w:t>
      </w:r>
    </w:p>
    <w:p w:rsidR="009D262C" w:rsidRP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Pusimos en marcha el Servicio de Urgencia de Alta Resolutividad de Los Andes, el que recibimos con un 6% de avance y que entregamos terminado y habilitado para la comunidad, gracias a una inversión del Ministerio de Salud de más de 1.000 millones entre infraestructura y equipamiento.</w:t>
      </w:r>
    </w:p>
    <w:p w:rsidR="009D262C" w:rsidRDefault="009D262C" w:rsidP="009D262C">
      <w:pPr>
        <w:spacing w:after="160" w:line="360" w:lineRule="auto"/>
        <w:jc w:val="both"/>
        <w:rPr>
          <w:rFonts w:ascii="Arial" w:eastAsiaTheme="minorHAnsi" w:hAnsi="Arial" w:cs="Arial"/>
          <w:sz w:val="24"/>
          <w:szCs w:val="24"/>
        </w:rPr>
      </w:pPr>
      <w:r w:rsidRPr="009D262C">
        <w:rPr>
          <w:rFonts w:ascii="Arial" w:eastAsiaTheme="minorHAnsi" w:hAnsi="Arial" w:cs="Arial"/>
          <w:sz w:val="24"/>
          <w:szCs w:val="24"/>
        </w:rPr>
        <w:t xml:space="preserve">En el ámbito hospitalario, nuestro servicio de salud recibió una inversión histórica de más de $12.000 millones en equipamiento, lo que permitió que tanto el Hospital San Camilo como el Hospital San Juan de Dios renovaran implementación que hace largo tiempo había terminado su vida útil. Junto a ello, cumplimos el compromiso adquirido hace muchos años y que significa un hecho histórico para la red, como es contar con un resonador magnético en el Hospital San Camilo, el que significó una inversión cercana a los $2.000 millones y dotar al Hospital de Los Andes de un </w:t>
      </w:r>
      <w:r w:rsidRPr="009D262C">
        <w:rPr>
          <w:rFonts w:ascii="Arial" w:eastAsiaTheme="minorHAnsi" w:hAnsi="Arial" w:cs="Arial"/>
          <w:sz w:val="24"/>
          <w:szCs w:val="24"/>
        </w:rPr>
        <w:lastRenderedPageBreak/>
        <w:t>nuevo Scanner, que ya está en funcionamiento, mejorando las condiciones de atención para toda la comunidad.</w:t>
      </w:r>
    </w:p>
    <w:p w:rsidR="000A4F90" w:rsidRPr="000A4F90" w:rsidRDefault="000A4F90" w:rsidP="009D262C">
      <w:pPr>
        <w:spacing w:after="160" w:line="360" w:lineRule="auto"/>
        <w:jc w:val="both"/>
        <w:rPr>
          <w:rFonts w:ascii="Arial" w:eastAsiaTheme="minorHAnsi" w:hAnsi="Arial" w:cs="Arial"/>
          <w:sz w:val="24"/>
          <w:szCs w:val="24"/>
          <w:u w:val="single"/>
        </w:rPr>
      </w:pPr>
      <w:r w:rsidRPr="000A4F90">
        <w:rPr>
          <w:rFonts w:ascii="Arial" w:eastAsiaTheme="minorHAnsi" w:hAnsi="Arial" w:cs="Arial"/>
          <w:sz w:val="24"/>
          <w:szCs w:val="24"/>
          <w:u w:val="single"/>
        </w:rPr>
        <w:t>Capacitación</w:t>
      </w:r>
    </w:p>
    <w:p w:rsidR="000A4F90" w:rsidRPr="000A4F90" w:rsidRDefault="000A4F90" w:rsidP="000A4F90">
      <w:pPr>
        <w:pStyle w:val="NormalWeb"/>
        <w:spacing w:before="0" w:beforeAutospacing="0" w:after="0" w:afterAutospacing="0" w:line="480" w:lineRule="auto"/>
        <w:jc w:val="both"/>
        <w:textAlignment w:val="baseline"/>
        <w:rPr>
          <w:rFonts w:ascii="Arial" w:hAnsi="Arial" w:cs="Arial"/>
          <w:color w:val="000000" w:themeColor="text1"/>
        </w:rPr>
      </w:pPr>
      <w:r w:rsidRPr="000A4F90">
        <w:rPr>
          <w:rFonts w:ascii="Arial" w:eastAsia="ヒラギノ角ゴ Pro W3" w:hAnsi="Arial" w:cs="Arial"/>
          <w:color w:val="000000" w:themeColor="text1"/>
          <w:kern w:val="24"/>
          <w:lang w:val="es-MX"/>
        </w:rPr>
        <w:t>La Capacitación Funcionaria se desarrolló durante el año 2021 considerando el contexto de la actual pandemia por COVID 19, lo que implicó priorizar actividades para apoyar al personal en adquirir competencias en los aspectos técnicos del manejo de la pandemia, así como contribuir a mejorar la salud mental de los funcionarios y la prevención y control de riesgos psicosociales, producto de los altos niveles de estrés y agotamiento de los equipos de salud debido a la pandemia.</w:t>
      </w:r>
    </w:p>
    <w:p w:rsidR="000A4F90" w:rsidRDefault="000A4F90" w:rsidP="000A4F90">
      <w:pPr>
        <w:pStyle w:val="NormalWeb"/>
        <w:spacing w:before="0" w:beforeAutospacing="0" w:after="0" w:afterAutospacing="0" w:line="480" w:lineRule="auto"/>
        <w:jc w:val="both"/>
        <w:textAlignment w:val="baseline"/>
        <w:rPr>
          <w:rFonts w:ascii="Arial" w:eastAsia="ヒラギノ角ゴ Pro W3" w:hAnsi="Arial" w:cs="Arial"/>
          <w:color w:val="000000" w:themeColor="text1"/>
          <w:kern w:val="24"/>
          <w:lang w:val="es-MX"/>
        </w:rPr>
      </w:pPr>
      <w:r w:rsidRPr="000A4F90">
        <w:rPr>
          <w:rFonts w:ascii="Arial" w:eastAsia="ヒラギノ角ゴ Pro W3" w:hAnsi="Arial" w:cs="Arial"/>
          <w:color w:val="000000" w:themeColor="text1"/>
          <w:kern w:val="24"/>
          <w:lang w:val="es-MX"/>
        </w:rPr>
        <w:t>Además, el área de capacitación cambió la modalidad tradicional de cursos presenciales a metodologías virtuales en el 90% de las actividades, de manera de realizar la capacitación sin riesgos de contagio. Se destaca la iniciativa de implementación de una plataforma E-</w:t>
      </w:r>
      <w:proofErr w:type="spellStart"/>
      <w:r w:rsidRPr="000A4F90">
        <w:rPr>
          <w:rFonts w:ascii="Arial" w:eastAsia="ヒラギノ角ゴ Pro W3" w:hAnsi="Arial" w:cs="Arial"/>
          <w:color w:val="000000" w:themeColor="text1"/>
          <w:kern w:val="24"/>
          <w:lang w:val="es-MX"/>
        </w:rPr>
        <w:t>Learning</w:t>
      </w:r>
      <w:proofErr w:type="spellEnd"/>
      <w:r w:rsidRPr="000A4F90">
        <w:rPr>
          <w:rFonts w:ascii="Arial" w:eastAsia="ヒラギノ角ゴ Pro W3" w:hAnsi="Arial" w:cs="Arial"/>
          <w:color w:val="000000" w:themeColor="text1"/>
          <w:kern w:val="24"/>
          <w:lang w:val="es-MX"/>
        </w:rPr>
        <w:t xml:space="preserve">, con una oferta de 27 cursos en una amplia variedad de temáticas, y mediante la cual se ha logrado una gran cobertura de funcionarios capacitados. </w:t>
      </w:r>
    </w:p>
    <w:p w:rsidR="003D1E2B" w:rsidRPr="003D1E2B" w:rsidRDefault="003D1E2B" w:rsidP="003D1E2B">
      <w:pPr>
        <w:spacing w:after="0" w:line="240" w:lineRule="auto"/>
        <w:rPr>
          <w:rFonts w:ascii="Times New Roman" w:eastAsia="Times New Roman" w:hAnsi="Times New Roman" w:cs="Times New Roman"/>
          <w:sz w:val="24"/>
          <w:szCs w:val="24"/>
          <w:lang w:eastAsia="es-CL"/>
        </w:rPr>
      </w:pPr>
      <w:r w:rsidRPr="003D1E2B">
        <w:rPr>
          <w:rFonts w:ascii="Calibri" w:eastAsia="Times New Roman" w:hAnsi="Calibri" w:cs="Calibri"/>
          <w:b/>
          <w:bCs/>
          <w:color w:val="000000"/>
          <w:kern w:val="24"/>
          <w:sz w:val="24"/>
          <w:szCs w:val="24"/>
          <w:lang w:val="es-ES_tradnl" w:eastAsia="es-CL"/>
        </w:rPr>
        <w:t xml:space="preserve">SUSTENTABILIDAD HOSPITALARIA Y EFICIENCIA ENERGÉTICA </w:t>
      </w:r>
    </w:p>
    <w:p w:rsidR="003D1E2B" w:rsidRDefault="003D1E2B" w:rsidP="000A4F90">
      <w:pPr>
        <w:spacing w:after="0" w:line="480" w:lineRule="auto"/>
        <w:jc w:val="both"/>
        <w:rPr>
          <w:rFonts w:ascii="Arial" w:eastAsia="Times New Roman" w:hAnsi="Arial" w:cs="Arial"/>
          <w:color w:val="000000" w:themeColor="text1"/>
          <w:sz w:val="24"/>
          <w:szCs w:val="24"/>
          <w:lang w:eastAsia="es-CL"/>
        </w:rPr>
      </w:pPr>
    </w:p>
    <w:p w:rsidR="000A4F90" w:rsidRPr="000A4F90" w:rsidRDefault="000A4F90" w:rsidP="000A4F90">
      <w:pPr>
        <w:spacing w:after="0" w:line="480" w:lineRule="auto"/>
        <w:jc w:val="both"/>
        <w:rPr>
          <w:rFonts w:ascii="Arial" w:eastAsia="Times New Roman" w:hAnsi="Arial" w:cs="Arial"/>
          <w:sz w:val="24"/>
          <w:szCs w:val="24"/>
          <w:lang w:eastAsia="es-CL"/>
        </w:rPr>
      </w:pPr>
      <w:r w:rsidRPr="000A4F90">
        <w:rPr>
          <w:rFonts w:ascii="Arial" w:eastAsia="Times New Roman" w:hAnsi="Arial" w:cs="Arial"/>
          <w:color w:val="000000"/>
          <w:kern w:val="24"/>
          <w:sz w:val="24"/>
          <w:szCs w:val="24"/>
          <w:lang w:val="es-MX" w:eastAsia="es-CL"/>
        </w:rPr>
        <w:t xml:space="preserve">El servicio de Salud en 2021 fue reconocido a nivel nacional con el </w:t>
      </w:r>
      <w:r w:rsidRPr="000A4F90">
        <w:rPr>
          <w:rFonts w:ascii="Arial" w:eastAsia="Times New Roman" w:hAnsi="Arial" w:cs="Arial"/>
          <w:b/>
          <w:bCs/>
          <w:color w:val="000000"/>
          <w:kern w:val="24"/>
          <w:sz w:val="24"/>
          <w:szCs w:val="24"/>
          <w:lang w:val="es-MX" w:eastAsia="es-CL"/>
        </w:rPr>
        <w:t>Sello de Excelencia Energética,</w:t>
      </w:r>
      <w:r w:rsidRPr="000A4F90">
        <w:rPr>
          <w:rFonts w:ascii="Arial" w:eastAsia="Times New Roman" w:hAnsi="Arial" w:cs="Arial"/>
          <w:color w:val="000000"/>
          <w:kern w:val="24"/>
          <w:sz w:val="24"/>
          <w:szCs w:val="24"/>
          <w:lang w:val="es-MX" w:eastAsia="es-CL"/>
        </w:rPr>
        <w:t xml:space="preserve"> otorgado por la agencia de sostenibilidad energética y el Ministerio de Energía, siendo el único Servicio de Salud del país  que acreditó a siete de sus establecimientos con dicho reconocimiento. </w:t>
      </w:r>
    </w:p>
    <w:p w:rsidR="003D1E2B" w:rsidRDefault="003D1E2B" w:rsidP="000A4F90">
      <w:pPr>
        <w:spacing w:after="0" w:line="480" w:lineRule="auto"/>
        <w:jc w:val="both"/>
        <w:rPr>
          <w:rFonts w:ascii="Arial" w:eastAsia="Times New Roman" w:hAnsi="Arial" w:cs="Arial"/>
          <w:color w:val="000000"/>
          <w:kern w:val="24"/>
          <w:sz w:val="24"/>
          <w:szCs w:val="24"/>
          <w:lang w:val="es-MX" w:eastAsia="es-CL"/>
        </w:rPr>
      </w:pPr>
    </w:p>
    <w:p w:rsidR="003D1E2B" w:rsidRDefault="003D1E2B" w:rsidP="000A4F90">
      <w:pPr>
        <w:spacing w:after="0" w:line="480" w:lineRule="auto"/>
        <w:jc w:val="both"/>
        <w:rPr>
          <w:rFonts w:ascii="Arial" w:eastAsia="Times New Roman" w:hAnsi="Arial" w:cs="Arial"/>
          <w:color w:val="000000"/>
          <w:kern w:val="24"/>
          <w:sz w:val="24"/>
          <w:szCs w:val="24"/>
          <w:lang w:val="es-MX" w:eastAsia="es-CL"/>
        </w:rPr>
      </w:pPr>
    </w:p>
    <w:p w:rsidR="000A4F90" w:rsidRPr="000A4F90" w:rsidRDefault="000A4F90" w:rsidP="000A4F90">
      <w:pPr>
        <w:spacing w:after="0" w:line="480" w:lineRule="auto"/>
        <w:jc w:val="both"/>
        <w:rPr>
          <w:rFonts w:ascii="Arial" w:eastAsia="Times New Roman" w:hAnsi="Arial" w:cs="Arial"/>
          <w:sz w:val="24"/>
          <w:szCs w:val="24"/>
          <w:lang w:eastAsia="es-CL"/>
        </w:rPr>
      </w:pPr>
      <w:r w:rsidRPr="000A4F90">
        <w:rPr>
          <w:rFonts w:ascii="Arial" w:eastAsia="Times New Roman" w:hAnsi="Arial" w:cs="Arial"/>
          <w:color w:val="000000"/>
          <w:kern w:val="24"/>
          <w:sz w:val="24"/>
          <w:szCs w:val="24"/>
          <w:lang w:val="es-MX" w:eastAsia="es-CL"/>
        </w:rPr>
        <w:lastRenderedPageBreak/>
        <w:t xml:space="preserve">Este importante hito da cuenta del trabajo que desarrolla la red asistencial en materia de gestión ambiental y sustentabilidad hospitalaria en el contexto de las </w:t>
      </w:r>
      <w:proofErr w:type="gramStart"/>
      <w:r w:rsidRPr="000A4F90">
        <w:rPr>
          <w:rFonts w:ascii="Arial" w:eastAsia="Times New Roman" w:hAnsi="Arial" w:cs="Arial"/>
          <w:color w:val="000000"/>
          <w:kern w:val="24"/>
          <w:sz w:val="24"/>
          <w:szCs w:val="24"/>
          <w:lang w:val="es-MX" w:eastAsia="es-CL"/>
        </w:rPr>
        <w:t>políticas</w:t>
      </w:r>
      <w:proofErr w:type="gramEnd"/>
      <w:r w:rsidRPr="000A4F90">
        <w:rPr>
          <w:rFonts w:ascii="Arial" w:eastAsia="Times New Roman" w:hAnsi="Arial" w:cs="Arial"/>
          <w:color w:val="000000"/>
          <w:kern w:val="24"/>
          <w:sz w:val="24"/>
          <w:szCs w:val="24"/>
          <w:lang w:val="es-MX" w:eastAsia="es-CL"/>
        </w:rPr>
        <w:t xml:space="preserve"> </w:t>
      </w:r>
      <w:proofErr w:type="spellStart"/>
      <w:r w:rsidRPr="000A4F90">
        <w:rPr>
          <w:rFonts w:ascii="Arial" w:eastAsia="Times New Roman" w:hAnsi="Arial" w:cs="Arial"/>
          <w:color w:val="000000"/>
          <w:kern w:val="24"/>
          <w:sz w:val="24"/>
          <w:szCs w:val="24"/>
          <w:lang w:val="es-MX" w:eastAsia="es-CL"/>
        </w:rPr>
        <w:t>publicas</w:t>
      </w:r>
      <w:proofErr w:type="spellEnd"/>
      <w:r w:rsidRPr="000A4F90">
        <w:rPr>
          <w:rFonts w:ascii="Arial" w:eastAsia="Times New Roman" w:hAnsi="Arial" w:cs="Arial"/>
          <w:color w:val="000000"/>
          <w:kern w:val="24"/>
          <w:sz w:val="24"/>
          <w:szCs w:val="24"/>
          <w:lang w:val="es-MX" w:eastAsia="es-CL"/>
        </w:rPr>
        <w:t xml:space="preserve"> de cambio climático, uso eficiente y racional de los recursos y la crisis de escases de agua que aqueja al Valle del Aconcagua.</w:t>
      </w:r>
    </w:p>
    <w:p w:rsidR="000A4F90" w:rsidRDefault="000A4F90" w:rsidP="000A4F90">
      <w:pPr>
        <w:spacing w:after="0" w:line="480" w:lineRule="auto"/>
        <w:jc w:val="both"/>
        <w:rPr>
          <w:rFonts w:ascii="Arial" w:eastAsia="Times New Roman" w:hAnsi="Arial" w:cs="Arial"/>
          <w:color w:val="000000"/>
          <w:kern w:val="24"/>
          <w:sz w:val="24"/>
          <w:szCs w:val="24"/>
          <w:lang w:val="es-MX" w:eastAsia="es-CL"/>
        </w:rPr>
      </w:pPr>
      <w:r w:rsidRPr="000A4F90">
        <w:rPr>
          <w:rFonts w:ascii="Arial" w:eastAsia="Times New Roman" w:hAnsi="Arial" w:cs="Arial"/>
          <w:color w:val="000000"/>
          <w:kern w:val="24"/>
          <w:sz w:val="24"/>
          <w:szCs w:val="24"/>
          <w:lang w:val="es-MX" w:eastAsia="es-CL"/>
        </w:rPr>
        <w:t>Siguiendo con la línea de trabajo de eficiencia energética, también en el 2021 el Servicio de Salud obtuvo el primer lugar a nivel nacional en el Concurso de edificios públicos del Ministerio de Energía para medición remota de consumos, lo cual se traduce en que dos establecimientos de la red (Hospital San Camilo y CESFAM San Felipe) podrán medir sus consumos de forma automatizada mejorando,  así el uso que le dan a la energía y disminuyendo las emisiones de contaminantes.</w:t>
      </w:r>
    </w:p>
    <w:p w:rsidR="003D1E2B" w:rsidRPr="003D1E2B" w:rsidRDefault="003D1E2B" w:rsidP="003D1E2B">
      <w:pPr>
        <w:spacing w:after="160" w:line="360" w:lineRule="auto"/>
        <w:jc w:val="both"/>
        <w:rPr>
          <w:rFonts w:ascii="Arial" w:eastAsiaTheme="minorHAnsi" w:hAnsi="Arial" w:cs="Arial"/>
          <w:b/>
          <w:sz w:val="24"/>
          <w:szCs w:val="24"/>
          <w:u w:val="single"/>
        </w:rPr>
      </w:pPr>
      <w:r w:rsidRPr="003D1E2B">
        <w:rPr>
          <w:rFonts w:ascii="Arial" w:eastAsiaTheme="minorHAnsi" w:hAnsi="Arial" w:cs="Arial"/>
          <w:b/>
          <w:sz w:val="24"/>
          <w:szCs w:val="24"/>
          <w:u w:val="single"/>
        </w:rPr>
        <w:t>GESTION DE PERSONAS</w:t>
      </w:r>
    </w:p>
    <w:p w:rsidR="003D1E2B" w:rsidRPr="003D1E2B" w:rsidRDefault="003D1E2B" w:rsidP="003D1E2B">
      <w:pPr>
        <w:spacing w:after="160" w:line="360" w:lineRule="auto"/>
        <w:jc w:val="both"/>
        <w:rPr>
          <w:rFonts w:ascii="Arial" w:eastAsiaTheme="minorHAnsi" w:hAnsi="Arial" w:cs="Arial"/>
          <w:sz w:val="24"/>
          <w:szCs w:val="24"/>
        </w:rPr>
      </w:pPr>
      <w:r w:rsidRPr="003D1E2B">
        <w:rPr>
          <w:rFonts w:ascii="Arial" w:eastAsiaTheme="minorHAnsi" w:hAnsi="Arial" w:cs="Arial"/>
          <w:sz w:val="24"/>
          <w:szCs w:val="24"/>
        </w:rPr>
        <w:t xml:space="preserve">Una de nuestras preocupaciones fundamentales fue el bienestar de los funcionarios y también de sus hijos e hijas. El 2021 resolvimos una problemática histórica para los CESFAM Cordillera Andina y de Llay </w:t>
      </w:r>
      <w:proofErr w:type="spellStart"/>
      <w:r w:rsidRPr="003D1E2B">
        <w:rPr>
          <w:rFonts w:ascii="Arial" w:eastAsiaTheme="minorHAnsi" w:hAnsi="Arial" w:cs="Arial"/>
          <w:sz w:val="24"/>
          <w:szCs w:val="24"/>
        </w:rPr>
        <w:t>Llay</w:t>
      </w:r>
      <w:proofErr w:type="spellEnd"/>
      <w:r w:rsidRPr="003D1E2B">
        <w:rPr>
          <w:rFonts w:ascii="Arial" w:eastAsiaTheme="minorHAnsi" w:hAnsi="Arial" w:cs="Arial"/>
          <w:sz w:val="24"/>
          <w:szCs w:val="24"/>
        </w:rPr>
        <w:t xml:space="preserve">, el Hospital San Francisco y el COSAM de Los Andes, como era contar con clubes escolares para que los niños y niñas de hasta doce años puedan permanecer mientras sus madres realizan sus labores habituales. Por mucho tiempo, nuestras funcionarias debieron buscar las más diversas soluciones para resolver este tema, el que hoy cuenta con una resolución definitiva. </w:t>
      </w:r>
    </w:p>
    <w:p w:rsidR="003D1E2B" w:rsidRPr="003D1E2B" w:rsidRDefault="003D1E2B" w:rsidP="003D1E2B">
      <w:pPr>
        <w:spacing w:after="160" w:line="360" w:lineRule="auto"/>
        <w:jc w:val="both"/>
        <w:rPr>
          <w:rFonts w:ascii="Arial" w:eastAsiaTheme="minorHAnsi" w:hAnsi="Arial" w:cs="Arial"/>
          <w:sz w:val="24"/>
          <w:szCs w:val="24"/>
        </w:rPr>
      </w:pPr>
      <w:r w:rsidRPr="003D1E2B">
        <w:rPr>
          <w:rFonts w:ascii="Arial" w:eastAsiaTheme="minorHAnsi" w:hAnsi="Arial" w:cs="Arial"/>
          <w:sz w:val="24"/>
          <w:szCs w:val="24"/>
        </w:rPr>
        <w:t>Así también, junto a Federación de Técnicos en Enfermería, generamos el Primer Diplomado en Trato Humanizado para funcionarios de nuestro Servicio de Salud, el que comenzó sus clases en Marzo de este año con 30 personas, las que pertenecen a diferentes establecimientos de toda nuestra red de salud</w:t>
      </w:r>
    </w:p>
    <w:p w:rsidR="003D1E2B" w:rsidRPr="003D1E2B" w:rsidRDefault="003D1E2B" w:rsidP="003D1E2B">
      <w:pPr>
        <w:spacing w:after="0" w:line="240" w:lineRule="auto"/>
        <w:jc w:val="both"/>
        <w:rPr>
          <w:rFonts w:ascii="Times New Roman" w:eastAsia="Times New Roman" w:hAnsi="Times New Roman" w:cs="Times New Roman"/>
          <w:sz w:val="24"/>
          <w:szCs w:val="24"/>
          <w:lang w:eastAsia="es-CL"/>
        </w:rPr>
      </w:pPr>
      <w:r w:rsidRPr="003D1E2B">
        <w:rPr>
          <w:rFonts w:hAnsi="Calibri"/>
          <w:color w:val="000000" w:themeColor="text1"/>
          <w:kern w:val="24"/>
          <w:sz w:val="32"/>
          <w:szCs w:val="32"/>
          <w:lang w:val="es-MX" w:eastAsia="es-CL"/>
        </w:rPr>
        <w:t>En el año 2021 se planifica y ejecuta el retorno de la actividad docente presencial a los establecimientos asistenciales del SSA, de los alumnos de pre grado de las carreras del área de la salud.</w:t>
      </w:r>
    </w:p>
    <w:p w:rsidR="003D1E2B" w:rsidRDefault="003D1E2B" w:rsidP="003D1E2B">
      <w:pPr>
        <w:spacing w:after="0" w:line="480" w:lineRule="auto"/>
        <w:jc w:val="both"/>
        <w:rPr>
          <w:rFonts w:ascii="Arial" w:hAnsi="Arial" w:cs="Arial"/>
          <w:color w:val="000000" w:themeColor="text1"/>
          <w:kern w:val="24"/>
          <w:sz w:val="24"/>
          <w:szCs w:val="24"/>
          <w:lang w:val="es-MX" w:eastAsia="es-CL"/>
        </w:rPr>
      </w:pPr>
    </w:p>
    <w:p w:rsidR="003D1E2B" w:rsidRPr="003D1E2B" w:rsidRDefault="003D1E2B" w:rsidP="003D1E2B">
      <w:pPr>
        <w:spacing w:after="0" w:line="240" w:lineRule="auto"/>
        <w:rPr>
          <w:rFonts w:ascii="Times New Roman" w:eastAsia="Times New Roman" w:hAnsi="Times New Roman" w:cs="Times New Roman"/>
          <w:sz w:val="28"/>
          <w:szCs w:val="28"/>
          <w:lang w:eastAsia="es-CL"/>
        </w:rPr>
      </w:pPr>
      <w:r w:rsidRPr="003D1E2B">
        <w:rPr>
          <w:rFonts w:ascii="Calibri" w:eastAsia="Times New Roman" w:hAnsi="Calibri" w:cs="Calibri"/>
          <w:b/>
          <w:bCs/>
          <w:color w:val="000000"/>
          <w:kern w:val="24"/>
          <w:sz w:val="28"/>
          <w:szCs w:val="28"/>
          <w:lang w:val="es-ES_tradnl" w:eastAsia="es-CL"/>
        </w:rPr>
        <w:lastRenderedPageBreak/>
        <w:t>RETORNO DE LA ACTIVIDAD ASISTENCIAL DOCENTE</w:t>
      </w:r>
    </w:p>
    <w:p w:rsidR="003D1E2B" w:rsidRPr="003D1E2B" w:rsidRDefault="003D1E2B" w:rsidP="003D1E2B">
      <w:pPr>
        <w:spacing w:after="0" w:line="480" w:lineRule="auto"/>
        <w:jc w:val="both"/>
        <w:rPr>
          <w:rFonts w:ascii="Arial" w:hAnsi="Arial" w:cs="Arial"/>
          <w:color w:val="000000" w:themeColor="text1"/>
          <w:kern w:val="24"/>
          <w:sz w:val="24"/>
          <w:szCs w:val="24"/>
          <w:lang w:eastAsia="es-CL"/>
        </w:rPr>
      </w:pPr>
    </w:p>
    <w:p w:rsidR="003D1E2B" w:rsidRPr="003D1E2B" w:rsidRDefault="003D1E2B" w:rsidP="003D1E2B">
      <w:pPr>
        <w:spacing w:after="0" w:line="480" w:lineRule="auto"/>
        <w:jc w:val="both"/>
        <w:rPr>
          <w:rFonts w:ascii="Arial" w:eastAsia="Times New Roman" w:hAnsi="Arial" w:cs="Arial"/>
          <w:sz w:val="24"/>
          <w:szCs w:val="24"/>
          <w:lang w:eastAsia="es-CL"/>
        </w:rPr>
      </w:pPr>
      <w:r w:rsidRPr="003D1E2B">
        <w:rPr>
          <w:rFonts w:ascii="Arial" w:hAnsi="Arial" w:cs="Arial"/>
          <w:color w:val="000000" w:themeColor="text1"/>
          <w:kern w:val="24"/>
          <w:sz w:val="24"/>
          <w:szCs w:val="24"/>
          <w:lang w:val="es-MX" w:eastAsia="es-CL"/>
        </w:rPr>
        <w:t xml:space="preserve">Este retorno, se realiza gracias al  compromiso de los equipos de salud  en apoyar la normalización de las actividades formativas de los estudiante de pre grado, ya que los campos clínicos son el medio de formación y perfeccionamiento con que cuenta la salud pública del país para </w:t>
      </w:r>
      <w:proofErr w:type="spellStart"/>
      <w:r w:rsidRPr="003D1E2B">
        <w:rPr>
          <w:rFonts w:ascii="Arial" w:hAnsi="Arial" w:cs="Arial"/>
          <w:color w:val="000000" w:themeColor="text1"/>
          <w:kern w:val="24"/>
          <w:sz w:val="24"/>
          <w:szCs w:val="24"/>
          <w:lang w:val="es-MX" w:eastAsia="es-CL"/>
        </w:rPr>
        <w:t>prepara</w:t>
      </w:r>
      <w:proofErr w:type="spellEnd"/>
      <w:r w:rsidRPr="003D1E2B">
        <w:rPr>
          <w:rFonts w:ascii="Arial" w:hAnsi="Arial" w:cs="Arial"/>
          <w:color w:val="000000" w:themeColor="text1"/>
          <w:kern w:val="24"/>
          <w:sz w:val="24"/>
          <w:szCs w:val="24"/>
          <w:lang w:val="es-MX" w:eastAsia="es-CL"/>
        </w:rPr>
        <w:t xml:space="preserve"> a los futuros profesionales y técnicos que estarán brindando  atención a la comunidad usuaria.</w:t>
      </w:r>
    </w:p>
    <w:p w:rsidR="003D1E2B" w:rsidRDefault="003D1E2B" w:rsidP="003D1E2B">
      <w:pPr>
        <w:spacing w:after="0" w:line="480" w:lineRule="auto"/>
        <w:jc w:val="both"/>
        <w:rPr>
          <w:rFonts w:ascii="Arial" w:hAnsi="Arial" w:cs="Arial"/>
          <w:color w:val="000000" w:themeColor="text1"/>
          <w:kern w:val="24"/>
          <w:sz w:val="24"/>
          <w:szCs w:val="24"/>
          <w:lang w:val="es-MX" w:eastAsia="es-CL"/>
        </w:rPr>
      </w:pPr>
      <w:r w:rsidRPr="003D1E2B">
        <w:rPr>
          <w:rFonts w:ascii="Arial" w:hAnsi="Arial" w:cs="Arial"/>
          <w:color w:val="000000" w:themeColor="text1"/>
          <w:kern w:val="24"/>
          <w:sz w:val="24"/>
          <w:szCs w:val="24"/>
          <w:lang w:val="es-MX" w:eastAsia="es-CL"/>
        </w:rPr>
        <w:t>Rotaron en nuestros establecimiento un total de 1900 alumnos de</w:t>
      </w:r>
      <w:r>
        <w:rPr>
          <w:rFonts w:ascii="Arial" w:hAnsi="Arial" w:cs="Arial"/>
          <w:color w:val="000000" w:themeColor="text1"/>
          <w:kern w:val="24"/>
          <w:sz w:val="24"/>
          <w:szCs w:val="24"/>
          <w:lang w:val="es-MX" w:eastAsia="es-CL"/>
        </w:rPr>
        <w:t xml:space="preserve"> las distinta </w:t>
      </w:r>
      <w:r w:rsidRPr="003D1E2B">
        <w:rPr>
          <w:rFonts w:ascii="Arial" w:hAnsi="Arial" w:cs="Arial"/>
          <w:color w:val="000000" w:themeColor="text1"/>
          <w:kern w:val="24"/>
          <w:sz w:val="24"/>
          <w:szCs w:val="24"/>
          <w:lang w:val="es-MX" w:eastAsia="es-CL"/>
        </w:rPr>
        <w:t>carreras de la salud pertenecientes a la Universidad de Valparaíso, Universidad de Playa Ancha, Universidad de Aconcagua e Instituto Profesional AIEP</w:t>
      </w:r>
      <w:r>
        <w:rPr>
          <w:rFonts w:ascii="Arial" w:hAnsi="Arial" w:cs="Arial"/>
          <w:color w:val="000000" w:themeColor="text1"/>
          <w:kern w:val="24"/>
          <w:sz w:val="24"/>
          <w:szCs w:val="24"/>
          <w:lang w:val="es-MX" w:eastAsia="es-CL"/>
        </w:rPr>
        <w:t>.</w:t>
      </w:r>
    </w:p>
    <w:p w:rsidR="003D1E2B" w:rsidRDefault="003D1E2B" w:rsidP="003D1E2B">
      <w:pPr>
        <w:spacing w:after="0" w:line="216" w:lineRule="auto"/>
        <w:contextualSpacing/>
        <w:jc w:val="both"/>
        <w:rPr>
          <w:rFonts w:hAnsi="Calibri"/>
          <w:color w:val="000000" w:themeColor="text1"/>
          <w:kern w:val="24"/>
          <w:sz w:val="30"/>
          <w:szCs w:val="30"/>
          <w:lang w:val="es-MX" w:eastAsia="es-CL"/>
        </w:rPr>
      </w:pPr>
    </w:p>
    <w:p w:rsidR="003D1E2B" w:rsidRDefault="003D1E2B" w:rsidP="003D1E2B">
      <w:pPr>
        <w:spacing w:after="0" w:line="216" w:lineRule="auto"/>
        <w:contextualSpacing/>
        <w:jc w:val="both"/>
        <w:rPr>
          <w:rFonts w:hAnsi="Calibri"/>
          <w:b/>
          <w:color w:val="000000" w:themeColor="text1"/>
          <w:kern w:val="24"/>
          <w:sz w:val="30"/>
          <w:szCs w:val="30"/>
          <w:lang w:eastAsia="es-CL"/>
        </w:rPr>
      </w:pPr>
      <w:r w:rsidRPr="003D1E2B">
        <w:rPr>
          <w:rFonts w:hAnsi="Calibri"/>
          <w:b/>
          <w:color w:val="000000" w:themeColor="text1"/>
          <w:kern w:val="24"/>
          <w:sz w:val="30"/>
          <w:szCs w:val="30"/>
          <w:lang w:eastAsia="es-CL"/>
        </w:rPr>
        <w:t>Centro de Salud Funcionaria</w:t>
      </w:r>
    </w:p>
    <w:p w:rsidR="003D1E2B" w:rsidRPr="003D1E2B" w:rsidRDefault="003D1E2B" w:rsidP="003D1E2B">
      <w:pPr>
        <w:spacing w:after="0" w:line="216" w:lineRule="auto"/>
        <w:contextualSpacing/>
        <w:jc w:val="both"/>
        <w:rPr>
          <w:rFonts w:hAnsi="Calibri"/>
          <w:b/>
          <w:color w:val="000000" w:themeColor="text1"/>
          <w:kern w:val="24"/>
          <w:sz w:val="30"/>
          <w:szCs w:val="30"/>
          <w:lang w:eastAsia="es-CL"/>
        </w:rPr>
      </w:pPr>
      <w:bookmarkStart w:id="0" w:name="_GoBack"/>
      <w:bookmarkEnd w:id="0"/>
    </w:p>
    <w:p w:rsidR="003D1E2B" w:rsidRPr="003D1E2B" w:rsidRDefault="003D1E2B" w:rsidP="003D1E2B">
      <w:pPr>
        <w:spacing w:after="0" w:line="480" w:lineRule="auto"/>
        <w:contextualSpacing/>
        <w:jc w:val="both"/>
        <w:rPr>
          <w:rFonts w:ascii="Times New Roman" w:eastAsia="Times New Roman" w:hAnsi="Times New Roman" w:cs="Times New Roman"/>
          <w:sz w:val="30"/>
          <w:szCs w:val="24"/>
          <w:lang w:eastAsia="es-CL"/>
        </w:rPr>
      </w:pPr>
      <w:r w:rsidRPr="003D1E2B">
        <w:rPr>
          <w:rFonts w:hAnsi="Calibri"/>
          <w:color w:val="000000" w:themeColor="text1"/>
          <w:kern w:val="24"/>
          <w:sz w:val="30"/>
          <w:szCs w:val="30"/>
          <w:lang w:eastAsia="es-CL"/>
        </w:rPr>
        <w:t xml:space="preserve">En el año 2021 el Centro de Atención de Salud Funcionaria (CASF) incrementó sus horas  profesionales para lograr una mayor cobertura de atención </w:t>
      </w:r>
      <w:proofErr w:type="gramStart"/>
      <w:r w:rsidRPr="003D1E2B">
        <w:rPr>
          <w:rFonts w:hAnsi="Calibri"/>
          <w:color w:val="000000" w:themeColor="text1"/>
          <w:kern w:val="24"/>
          <w:sz w:val="30"/>
          <w:szCs w:val="30"/>
          <w:lang w:eastAsia="es-CL"/>
        </w:rPr>
        <w:t>a</w:t>
      </w:r>
      <w:proofErr w:type="gramEnd"/>
      <w:r w:rsidRPr="003D1E2B">
        <w:rPr>
          <w:rFonts w:hAnsi="Calibri"/>
          <w:color w:val="000000" w:themeColor="text1"/>
          <w:kern w:val="24"/>
          <w:sz w:val="30"/>
          <w:szCs w:val="30"/>
          <w:lang w:eastAsia="es-CL"/>
        </w:rPr>
        <w:t xml:space="preserve"> los/as funcionarios y funcionarias de la red y con ello mejorar las condiciones laborales contribuyendo a óptima atención usuaria:</w:t>
      </w:r>
    </w:p>
    <w:p w:rsidR="003D1E2B" w:rsidRPr="003D1E2B" w:rsidRDefault="003D1E2B" w:rsidP="003D1E2B">
      <w:pPr>
        <w:spacing w:after="0" w:line="480" w:lineRule="auto"/>
        <w:contextualSpacing/>
        <w:jc w:val="both"/>
        <w:rPr>
          <w:rFonts w:ascii="Times New Roman" w:eastAsia="Times New Roman" w:hAnsi="Times New Roman" w:cs="Times New Roman"/>
          <w:sz w:val="30"/>
          <w:szCs w:val="24"/>
          <w:lang w:eastAsia="es-CL"/>
        </w:rPr>
      </w:pPr>
      <w:r w:rsidRPr="003D1E2B">
        <w:rPr>
          <w:rFonts w:hAnsi="Calibri"/>
          <w:color w:val="000000" w:themeColor="text1"/>
          <w:kern w:val="24"/>
          <w:sz w:val="30"/>
          <w:szCs w:val="30"/>
          <w:lang w:eastAsia="es-CL"/>
        </w:rPr>
        <w:t>22 horas de Médico de Familia</w:t>
      </w:r>
    </w:p>
    <w:p w:rsidR="003D1E2B" w:rsidRPr="003D1E2B" w:rsidRDefault="003D1E2B" w:rsidP="003D1E2B">
      <w:pPr>
        <w:spacing w:after="0" w:line="480" w:lineRule="auto"/>
        <w:contextualSpacing/>
        <w:jc w:val="both"/>
        <w:rPr>
          <w:rFonts w:ascii="Times New Roman" w:eastAsia="Times New Roman" w:hAnsi="Times New Roman" w:cs="Times New Roman"/>
          <w:sz w:val="30"/>
          <w:szCs w:val="24"/>
          <w:lang w:eastAsia="es-CL"/>
        </w:rPr>
      </w:pPr>
      <w:r w:rsidRPr="003D1E2B">
        <w:rPr>
          <w:rFonts w:hAnsi="Calibri"/>
          <w:color w:val="000000" w:themeColor="text1"/>
          <w:kern w:val="24"/>
          <w:sz w:val="30"/>
          <w:szCs w:val="30"/>
          <w:lang w:eastAsia="es-CL"/>
        </w:rPr>
        <w:t>22 horas de Psicología</w:t>
      </w:r>
    </w:p>
    <w:p w:rsidR="003D1E2B" w:rsidRPr="003D1E2B" w:rsidRDefault="003D1E2B" w:rsidP="003D1E2B">
      <w:pPr>
        <w:spacing w:after="0" w:line="480" w:lineRule="auto"/>
        <w:contextualSpacing/>
        <w:jc w:val="both"/>
        <w:rPr>
          <w:rFonts w:ascii="Times New Roman" w:eastAsia="Times New Roman" w:hAnsi="Times New Roman" w:cs="Times New Roman"/>
          <w:sz w:val="30"/>
          <w:szCs w:val="24"/>
          <w:lang w:eastAsia="es-CL"/>
        </w:rPr>
      </w:pPr>
      <w:r w:rsidRPr="003D1E2B">
        <w:rPr>
          <w:rFonts w:hAnsi="Calibri"/>
          <w:color w:val="000000" w:themeColor="text1"/>
          <w:kern w:val="24"/>
          <w:sz w:val="30"/>
          <w:szCs w:val="30"/>
          <w:lang w:eastAsia="es-CL"/>
        </w:rPr>
        <w:t xml:space="preserve">22 horas de Terapias Complementaria </w:t>
      </w:r>
    </w:p>
    <w:p w:rsidR="003D1E2B" w:rsidRDefault="003D1E2B" w:rsidP="003D1E2B">
      <w:pPr>
        <w:spacing w:after="0" w:line="480" w:lineRule="auto"/>
        <w:jc w:val="both"/>
        <w:rPr>
          <w:rFonts w:ascii="Arial" w:hAnsi="Arial" w:cs="Arial"/>
          <w:color w:val="000000" w:themeColor="text1"/>
          <w:kern w:val="24"/>
          <w:sz w:val="24"/>
          <w:szCs w:val="24"/>
          <w:lang w:val="es-MX" w:eastAsia="es-CL"/>
        </w:rPr>
      </w:pPr>
    </w:p>
    <w:p w:rsidR="003D1E2B" w:rsidRPr="000A4F90" w:rsidRDefault="003D1E2B" w:rsidP="003D1E2B">
      <w:pPr>
        <w:spacing w:after="0" w:line="480" w:lineRule="auto"/>
        <w:jc w:val="both"/>
        <w:rPr>
          <w:rFonts w:ascii="Arial" w:eastAsia="Times New Roman" w:hAnsi="Arial" w:cs="Arial"/>
          <w:sz w:val="24"/>
          <w:szCs w:val="24"/>
          <w:lang w:eastAsia="es-CL"/>
        </w:rPr>
      </w:pPr>
    </w:p>
    <w:p w:rsidR="009D262C" w:rsidRPr="009D262C" w:rsidRDefault="009D262C" w:rsidP="009D262C">
      <w:pPr>
        <w:spacing w:after="160" w:line="360" w:lineRule="auto"/>
        <w:jc w:val="both"/>
        <w:rPr>
          <w:rFonts w:ascii="Arial" w:eastAsiaTheme="minorHAnsi" w:hAnsi="Arial" w:cs="Arial"/>
          <w:sz w:val="24"/>
          <w:szCs w:val="24"/>
        </w:rPr>
      </w:pPr>
    </w:p>
    <w:p w:rsidR="004F6177" w:rsidRDefault="003D1E2B"/>
    <w:sectPr w:rsidR="004F617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n-ea">
    <w:panose1 w:val="00000000000000000000"/>
    <w:charset w:val="00"/>
    <w:family w:val="roman"/>
    <w:notTrueType/>
    <w:pitch w:val="default"/>
    <w:sig w:usb0="00000003" w:usb1="00000000" w:usb2="00000000" w:usb3="00000000" w:csb0="00000001" w:csb1="00000000"/>
  </w:font>
  <w:font w:name="ヒラギノ角ゴ Pro W3">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61170C"/>
    <w:multiLevelType w:val="hybridMultilevel"/>
    <w:tmpl w:val="D8E434D4"/>
    <w:lvl w:ilvl="0" w:tplc="FABA3326">
      <w:start w:val="1"/>
      <w:numFmt w:val="bullet"/>
      <w:lvlText w:val="•"/>
      <w:lvlJc w:val="left"/>
      <w:pPr>
        <w:tabs>
          <w:tab w:val="num" w:pos="720"/>
        </w:tabs>
        <w:ind w:left="720" w:hanging="360"/>
      </w:pPr>
      <w:rPr>
        <w:rFonts w:ascii="Arial" w:hAnsi="Arial" w:hint="default"/>
      </w:rPr>
    </w:lvl>
    <w:lvl w:ilvl="1" w:tplc="81E48862" w:tentative="1">
      <w:start w:val="1"/>
      <w:numFmt w:val="bullet"/>
      <w:lvlText w:val="•"/>
      <w:lvlJc w:val="left"/>
      <w:pPr>
        <w:tabs>
          <w:tab w:val="num" w:pos="1440"/>
        </w:tabs>
        <w:ind w:left="1440" w:hanging="360"/>
      </w:pPr>
      <w:rPr>
        <w:rFonts w:ascii="Arial" w:hAnsi="Arial" w:hint="default"/>
      </w:rPr>
    </w:lvl>
    <w:lvl w:ilvl="2" w:tplc="AF1406A8" w:tentative="1">
      <w:start w:val="1"/>
      <w:numFmt w:val="bullet"/>
      <w:lvlText w:val="•"/>
      <w:lvlJc w:val="left"/>
      <w:pPr>
        <w:tabs>
          <w:tab w:val="num" w:pos="2160"/>
        </w:tabs>
        <w:ind w:left="2160" w:hanging="360"/>
      </w:pPr>
      <w:rPr>
        <w:rFonts w:ascii="Arial" w:hAnsi="Arial" w:hint="default"/>
      </w:rPr>
    </w:lvl>
    <w:lvl w:ilvl="3" w:tplc="C374BB96" w:tentative="1">
      <w:start w:val="1"/>
      <w:numFmt w:val="bullet"/>
      <w:lvlText w:val="•"/>
      <w:lvlJc w:val="left"/>
      <w:pPr>
        <w:tabs>
          <w:tab w:val="num" w:pos="2880"/>
        </w:tabs>
        <w:ind w:left="2880" w:hanging="360"/>
      </w:pPr>
      <w:rPr>
        <w:rFonts w:ascii="Arial" w:hAnsi="Arial" w:hint="default"/>
      </w:rPr>
    </w:lvl>
    <w:lvl w:ilvl="4" w:tplc="D9DC7D0E" w:tentative="1">
      <w:start w:val="1"/>
      <w:numFmt w:val="bullet"/>
      <w:lvlText w:val="•"/>
      <w:lvlJc w:val="left"/>
      <w:pPr>
        <w:tabs>
          <w:tab w:val="num" w:pos="3600"/>
        </w:tabs>
        <w:ind w:left="3600" w:hanging="360"/>
      </w:pPr>
      <w:rPr>
        <w:rFonts w:ascii="Arial" w:hAnsi="Arial" w:hint="default"/>
      </w:rPr>
    </w:lvl>
    <w:lvl w:ilvl="5" w:tplc="F33866CC" w:tentative="1">
      <w:start w:val="1"/>
      <w:numFmt w:val="bullet"/>
      <w:lvlText w:val="•"/>
      <w:lvlJc w:val="left"/>
      <w:pPr>
        <w:tabs>
          <w:tab w:val="num" w:pos="4320"/>
        </w:tabs>
        <w:ind w:left="4320" w:hanging="360"/>
      </w:pPr>
      <w:rPr>
        <w:rFonts w:ascii="Arial" w:hAnsi="Arial" w:hint="default"/>
      </w:rPr>
    </w:lvl>
    <w:lvl w:ilvl="6" w:tplc="2258E752" w:tentative="1">
      <w:start w:val="1"/>
      <w:numFmt w:val="bullet"/>
      <w:lvlText w:val="•"/>
      <w:lvlJc w:val="left"/>
      <w:pPr>
        <w:tabs>
          <w:tab w:val="num" w:pos="5040"/>
        </w:tabs>
        <w:ind w:left="5040" w:hanging="360"/>
      </w:pPr>
      <w:rPr>
        <w:rFonts w:ascii="Arial" w:hAnsi="Arial" w:hint="default"/>
      </w:rPr>
    </w:lvl>
    <w:lvl w:ilvl="7" w:tplc="D6B6802C" w:tentative="1">
      <w:start w:val="1"/>
      <w:numFmt w:val="bullet"/>
      <w:lvlText w:val="•"/>
      <w:lvlJc w:val="left"/>
      <w:pPr>
        <w:tabs>
          <w:tab w:val="num" w:pos="5760"/>
        </w:tabs>
        <w:ind w:left="5760" w:hanging="360"/>
      </w:pPr>
      <w:rPr>
        <w:rFonts w:ascii="Arial" w:hAnsi="Arial" w:hint="default"/>
      </w:rPr>
    </w:lvl>
    <w:lvl w:ilvl="8" w:tplc="8D9C3908" w:tentative="1">
      <w:start w:val="1"/>
      <w:numFmt w:val="bullet"/>
      <w:lvlText w:val="•"/>
      <w:lvlJc w:val="left"/>
      <w:pPr>
        <w:tabs>
          <w:tab w:val="num" w:pos="6480"/>
        </w:tabs>
        <w:ind w:left="6480" w:hanging="360"/>
      </w:pPr>
      <w:rPr>
        <w:rFonts w:ascii="Arial" w:hAnsi="Arial" w:hint="default"/>
      </w:rPr>
    </w:lvl>
  </w:abstractNum>
  <w:abstractNum w:abstractNumId="1">
    <w:nsid w:val="23762D6F"/>
    <w:multiLevelType w:val="hybridMultilevel"/>
    <w:tmpl w:val="5628B4E4"/>
    <w:lvl w:ilvl="0" w:tplc="19182B08">
      <w:start w:val="1"/>
      <w:numFmt w:val="bullet"/>
      <w:lvlText w:val="-"/>
      <w:lvlJc w:val="left"/>
      <w:pPr>
        <w:tabs>
          <w:tab w:val="num" w:pos="720"/>
        </w:tabs>
        <w:ind w:left="720" w:hanging="360"/>
      </w:pPr>
      <w:rPr>
        <w:rFonts w:ascii="Times New Roman" w:hAnsi="Times New Roman" w:hint="default"/>
      </w:rPr>
    </w:lvl>
    <w:lvl w:ilvl="1" w:tplc="23E2FE18" w:tentative="1">
      <w:start w:val="1"/>
      <w:numFmt w:val="bullet"/>
      <w:lvlText w:val="-"/>
      <w:lvlJc w:val="left"/>
      <w:pPr>
        <w:tabs>
          <w:tab w:val="num" w:pos="1440"/>
        </w:tabs>
        <w:ind w:left="1440" w:hanging="360"/>
      </w:pPr>
      <w:rPr>
        <w:rFonts w:ascii="Times New Roman" w:hAnsi="Times New Roman" w:hint="default"/>
      </w:rPr>
    </w:lvl>
    <w:lvl w:ilvl="2" w:tplc="7DAA6540" w:tentative="1">
      <w:start w:val="1"/>
      <w:numFmt w:val="bullet"/>
      <w:lvlText w:val="-"/>
      <w:lvlJc w:val="left"/>
      <w:pPr>
        <w:tabs>
          <w:tab w:val="num" w:pos="2160"/>
        </w:tabs>
        <w:ind w:left="2160" w:hanging="360"/>
      </w:pPr>
      <w:rPr>
        <w:rFonts w:ascii="Times New Roman" w:hAnsi="Times New Roman" w:hint="default"/>
      </w:rPr>
    </w:lvl>
    <w:lvl w:ilvl="3" w:tplc="CDF01C74" w:tentative="1">
      <w:start w:val="1"/>
      <w:numFmt w:val="bullet"/>
      <w:lvlText w:val="-"/>
      <w:lvlJc w:val="left"/>
      <w:pPr>
        <w:tabs>
          <w:tab w:val="num" w:pos="2880"/>
        </w:tabs>
        <w:ind w:left="2880" w:hanging="360"/>
      </w:pPr>
      <w:rPr>
        <w:rFonts w:ascii="Times New Roman" w:hAnsi="Times New Roman" w:hint="default"/>
      </w:rPr>
    </w:lvl>
    <w:lvl w:ilvl="4" w:tplc="E0443DF6" w:tentative="1">
      <w:start w:val="1"/>
      <w:numFmt w:val="bullet"/>
      <w:lvlText w:val="-"/>
      <w:lvlJc w:val="left"/>
      <w:pPr>
        <w:tabs>
          <w:tab w:val="num" w:pos="3600"/>
        </w:tabs>
        <w:ind w:left="3600" w:hanging="360"/>
      </w:pPr>
      <w:rPr>
        <w:rFonts w:ascii="Times New Roman" w:hAnsi="Times New Roman" w:hint="default"/>
      </w:rPr>
    </w:lvl>
    <w:lvl w:ilvl="5" w:tplc="6F44E70C" w:tentative="1">
      <w:start w:val="1"/>
      <w:numFmt w:val="bullet"/>
      <w:lvlText w:val="-"/>
      <w:lvlJc w:val="left"/>
      <w:pPr>
        <w:tabs>
          <w:tab w:val="num" w:pos="4320"/>
        </w:tabs>
        <w:ind w:left="4320" w:hanging="360"/>
      </w:pPr>
      <w:rPr>
        <w:rFonts w:ascii="Times New Roman" w:hAnsi="Times New Roman" w:hint="default"/>
      </w:rPr>
    </w:lvl>
    <w:lvl w:ilvl="6" w:tplc="6DD85C70" w:tentative="1">
      <w:start w:val="1"/>
      <w:numFmt w:val="bullet"/>
      <w:lvlText w:val="-"/>
      <w:lvlJc w:val="left"/>
      <w:pPr>
        <w:tabs>
          <w:tab w:val="num" w:pos="5040"/>
        </w:tabs>
        <w:ind w:left="5040" w:hanging="360"/>
      </w:pPr>
      <w:rPr>
        <w:rFonts w:ascii="Times New Roman" w:hAnsi="Times New Roman" w:hint="default"/>
      </w:rPr>
    </w:lvl>
    <w:lvl w:ilvl="7" w:tplc="93467710" w:tentative="1">
      <w:start w:val="1"/>
      <w:numFmt w:val="bullet"/>
      <w:lvlText w:val="-"/>
      <w:lvlJc w:val="left"/>
      <w:pPr>
        <w:tabs>
          <w:tab w:val="num" w:pos="5760"/>
        </w:tabs>
        <w:ind w:left="5760" w:hanging="360"/>
      </w:pPr>
      <w:rPr>
        <w:rFonts w:ascii="Times New Roman" w:hAnsi="Times New Roman" w:hint="default"/>
      </w:rPr>
    </w:lvl>
    <w:lvl w:ilvl="8" w:tplc="142C625A" w:tentative="1">
      <w:start w:val="1"/>
      <w:numFmt w:val="bullet"/>
      <w:lvlText w:val="-"/>
      <w:lvlJc w:val="left"/>
      <w:pPr>
        <w:tabs>
          <w:tab w:val="num" w:pos="6480"/>
        </w:tabs>
        <w:ind w:left="6480" w:hanging="360"/>
      </w:pPr>
      <w:rPr>
        <w:rFonts w:ascii="Times New Roman" w:hAnsi="Times New Roman" w:hint="default"/>
      </w:rPr>
    </w:lvl>
  </w:abstractNum>
  <w:abstractNum w:abstractNumId="2">
    <w:nsid w:val="28F50818"/>
    <w:multiLevelType w:val="hybridMultilevel"/>
    <w:tmpl w:val="071E5864"/>
    <w:lvl w:ilvl="0" w:tplc="340A000F">
      <w:start w:val="1"/>
      <w:numFmt w:val="decimal"/>
      <w:lvlText w:val="%1."/>
      <w:lvlJc w:val="left"/>
      <w:pPr>
        <w:ind w:left="1440" w:hanging="360"/>
      </w:pPr>
    </w:lvl>
    <w:lvl w:ilvl="1" w:tplc="340A0019">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62C"/>
    <w:rsid w:val="000A4F90"/>
    <w:rsid w:val="003D1E2B"/>
    <w:rsid w:val="007118FE"/>
    <w:rsid w:val="008E692A"/>
    <w:rsid w:val="009D262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A2F644-1736-4320-9A56-5327C99CC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262C"/>
    <w:pPr>
      <w:spacing w:after="200" w:line="276" w:lineRule="auto"/>
    </w:pPr>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D262C"/>
    <w:pPr>
      <w:ind w:left="720"/>
      <w:contextualSpacing/>
    </w:pPr>
  </w:style>
  <w:style w:type="paragraph" w:styleId="NormalWeb">
    <w:name w:val="Normal (Web)"/>
    <w:basedOn w:val="Normal"/>
    <w:uiPriority w:val="99"/>
    <w:semiHidden/>
    <w:unhideWhenUsed/>
    <w:rsid w:val="000A4F90"/>
    <w:pPr>
      <w:spacing w:before="100" w:beforeAutospacing="1" w:after="100" w:afterAutospacing="1" w:line="240" w:lineRule="auto"/>
    </w:pPr>
    <w:rPr>
      <w:rFonts w:ascii="Times New Roman" w:eastAsia="Times New Roman" w:hAnsi="Times New Roman" w:cs="Times New Roman"/>
      <w:sz w:val="24"/>
      <w:szCs w:val="24"/>
      <w:lang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56559">
      <w:bodyDiv w:val="1"/>
      <w:marLeft w:val="0"/>
      <w:marRight w:val="0"/>
      <w:marTop w:val="0"/>
      <w:marBottom w:val="0"/>
      <w:divBdr>
        <w:top w:val="none" w:sz="0" w:space="0" w:color="auto"/>
        <w:left w:val="none" w:sz="0" w:space="0" w:color="auto"/>
        <w:bottom w:val="none" w:sz="0" w:space="0" w:color="auto"/>
        <w:right w:val="none" w:sz="0" w:space="0" w:color="auto"/>
      </w:divBdr>
    </w:div>
    <w:div w:id="101269659">
      <w:bodyDiv w:val="1"/>
      <w:marLeft w:val="0"/>
      <w:marRight w:val="0"/>
      <w:marTop w:val="0"/>
      <w:marBottom w:val="0"/>
      <w:divBdr>
        <w:top w:val="none" w:sz="0" w:space="0" w:color="auto"/>
        <w:left w:val="none" w:sz="0" w:space="0" w:color="auto"/>
        <w:bottom w:val="none" w:sz="0" w:space="0" w:color="auto"/>
        <w:right w:val="none" w:sz="0" w:space="0" w:color="auto"/>
      </w:divBdr>
    </w:div>
    <w:div w:id="498926982">
      <w:bodyDiv w:val="1"/>
      <w:marLeft w:val="0"/>
      <w:marRight w:val="0"/>
      <w:marTop w:val="0"/>
      <w:marBottom w:val="0"/>
      <w:divBdr>
        <w:top w:val="none" w:sz="0" w:space="0" w:color="auto"/>
        <w:left w:val="none" w:sz="0" w:space="0" w:color="auto"/>
        <w:bottom w:val="none" w:sz="0" w:space="0" w:color="auto"/>
        <w:right w:val="none" w:sz="0" w:space="0" w:color="auto"/>
      </w:divBdr>
    </w:div>
    <w:div w:id="951589768">
      <w:bodyDiv w:val="1"/>
      <w:marLeft w:val="0"/>
      <w:marRight w:val="0"/>
      <w:marTop w:val="0"/>
      <w:marBottom w:val="0"/>
      <w:divBdr>
        <w:top w:val="none" w:sz="0" w:space="0" w:color="auto"/>
        <w:left w:val="none" w:sz="0" w:space="0" w:color="auto"/>
        <w:bottom w:val="none" w:sz="0" w:space="0" w:color="auto"/>
        <w:right w:val="none" w:sz="0" w:space="0" w:color="auto"/>
      </w:divBdr>
      <w:divsChild>
        <w:div w:id="2126579733">
          <w:marLeft w:val="360"/>
          <w:marRight w:val="0"/>
          <w:marTop w:val="200"/>
          <w:marBottom w:val="0"/>
          <w:divBdr>
            <w:top w:val="none" w:sz="0" w:space="0" w:color="auto"/>
            <w:left w:val="none" w:sz="0" w:space="0" w:color="auto"/>
            <w:bottom w:val="none" w:sz="0" w:space="0" w:color="auto"/>
            <w:right w:val="none" w:sz="0" w:space="0" w:color="auto"/>
          </w:divBdr>
        </w:div>
        <w:div w:id="1800296131">
          <w:marLeft w:val="360"/>
          <w:marRight w:val="0"/>
          <w:marTop w:val="200"/>
          <w:marBottom w:val="0"/>
          <w:divBdr>
            <w:top w:val="none" w:sz="0" w:space="0" w:color="auto"/>
            <w:left w:val="none" w:sz="0" w:space="0" w:color="auto"/>
            <w:bottom w:val="none" w:sz="0" w:space="0" w:color="auto"/>
            <w:right w:val="none" w:sz="0" w:space="0" w:color="auto"/>
          </w:divBdr>
        </w:div>
        <w:div w:id="1979798479">
          <w:marLeft w:val="360"/>
          <w:marRight w:val="0"/>
          <w:marTop w:val="200"/>
          <w:marBottom w:val="0"/>
          <w:divBdr>
            <w:top w:val="none" w:sz="0" w:space="0" w:color="auto"/>
            <w:left w:val="none" w:sz="0" w:space="0" w:color="auto"/>
            <w:bottom w:val="none" w:sz="0" w:space="0" w:color="auto"/>
            <w:right w:val="none" w:sz="0" w:space="0" w:color="auto"/>
          </w:divBdr>
        </w:div>
        <w:div w:id="1255438516">
          <w:marLeft w:val="360"/>
          <w:marRight w:val="0"/>
          <w:marTop w:val="200"/>
          <w:marBottom w:val="0"/>
          <w:divBdr>
            <w:top w:val="none" w:sz="0" w:space="0" w:color="auto"/>
            <w:left w:val="none" w:sz="0" w:space="0" w:color="auto"/>
            <w:bottom w:val="none" w:sz="0" w:space="0" w:color="auto"/>
            <w:right w:val="none" w:sz="0" w:space="0" w:color="auto"/>
          </w:divBdr>
        </w:div>
      </w:divsChild>
    </w:div>
    <w:div w:id="1126267889">
      <w:bodyDiv w:val="1"/>
      <w:marLeft w:val="0"/>
      <w:marRight w:val="0"/>
      <w:marTop w:val="0"/>
      <w:marBottom w:val="0"/>
      <w:divBdr>
        <w:top w:val="none" w:sz="0" w:space="0" w:color="auto"/>
        <w:left w:val="none" w:sz="0" w:space="0" w:color="auto"/>
        <w:bottom w:val="none" w:sz="0" w:space="0" w:color="auto"/>
        <w:right w:val="none" w:sz="0" w:space="0" w:color="auto"/>
      </w:divBdr>
    </w:div>
    <w:div w:id="133872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2267</Words>
  <Characters>12473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Gonzalez</dc:creator>
  <cp:keywords/>
  <dc:description/>
  <cp:lastModifiedBy>Julio Gonzalez</cp:lastModifiedBy>
  <cp:revision>2</cp:revision>
  <dcterms:created xsi:type="dcterms:W3CDTF">2022-06-13T15:04:00Z</dcterms:created>
  <dcterms:modified xsi:type="dcterms:W3CDTF">2022-06-13T15:04:00Z</dcterms:modified>
</cp:coreProperties>
</file>