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30" w:rsidRDefault="006E3B30" w:rsidP="006E3B30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s-CL" w:eastAsia="es-CL"/>
        </w:rPr>
        <w:drawing>
          <wp:inline distT="0" distB="0" distL="0" distR="0">
            <wp:extent cx="504825" cy="4572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30" w:rsidRPr="00FD73EE" w:rsidRDefault="006E3B30" w:rsidP="006E3B30">
      <w:pPr>
        <w:jc w:val="both"/>
        <w:rPr>
          <w:rFonts w:ascii="Verdana" w:hAnsi="Verdana"/>
        </w:rPr>
      </w:pPr>
      <w:r w:rsidRPr="00FD73EE">
        <w:rPr>
          <w:rFonts w:ascii="Verdana" w:hAnsi="Verdana"/>
        </w:rPr>
        <w:t>MINISTERIO DE SALUD</w:t>
      </w:r>
    </w:p>
    <w:p w:rsidR="006E3B30" w:rsidRPr="00FD73EE" w:rsidRDefault="006E3B30" w:rsidP="006E3B30">
      <w:pPr>
        <w:jc w:val="both"/>
        <w:rPr>
          <w:rFonts w:ascii="Verdana" w:hAnsi="Verdana"/>
        </w:rPr>
      </w:pPr>
      <w:r w:rsidRPr="00FD73EE">
        <w:rPr>
          <w:rFonts w:ascii="Verdana" w:hAnsi="Verdana"/>
        </w:rPr>
        <w:t>SERVICIO DE SALUD ACONCAGUA</w:t>
      </w:r>
    </w:p>
    <w:p w:rsidR="006E3B30" w:rsidRPr="00FD73EE" w:rsidRDefault="006E3B30" w:rsidP="006E3B30">
      <w:pPr>
        <w:jc w:val="both"/>
        <w:rPr>
          <w:rFonts w:ascii="Verdana" w:hAnsi="Verdana"/>
          <w:u w:val="single"/>
        </w:rPr>
      </w:pPr>
      <w:r w:rsidRPr="00FD73EE">
        <w:rPr>
          <w:rFonts w:ascii="Verdana" w:hAnsi="Verdana"/>
        </w:rPr>
        <w:t>SUBDIRECCION DE GESTION ASISTENCIAL</w:t>
      </w:r>
    </w:p>
    <w:p w:rsidR="006E3B30" w:rsidRPr="00FE0E4C" w:rsidRDefault="006E3B30" w:rsidP="006E3B30">
      <w:pPr>
        <w:jc w:val="both"/>
        <w:rPr>
          <w:rFonts w:ascii="Verdana" w:hAnsi="Verdana"/>
          <w:b/>
          <w:u w:val="single"/>
          <w:lang w:val="pt-BR"/>
        </w:rPr>
      </w:pPr>
      <w:r w:rsidRPr="00FD73EE">
        <w:rPr>
          <w:rFonts w:ascii="Verdana" w:hAnsi="Verdana"/>
          <w:b/>
          <w:u w:val="single"/>
        </w:rPr>
        <w:t xml:space="preserve">DEPTO. </w:t>
      </w:r>
      <w:r w:rsidRPr="00FE0E4C">
        <w:rPr>
          <w:rFonts w:ascii="Verdana" w:hAnsi="Verdana"/>
          <w:b/>
          <w:u w:val="single"/>
          <w:lang w:val="pt-BR"/>
        </w:rPr>
        <w:t>GESTION HOSPITALARIA            /</w:t>
      </w:r>
    </w:p>
    <w:p w:rsidR="006E3B30" w:rsidRPr="00E72887" w:rsidRDefault="00DA148D" w:rsidP="006E3B30">
      <w:pPr>
        <w:jc w:val="both"/>
        <w:rPr>
          <w:rFonts w:ascii="Verdana" w:hAnsi="Verdana"/>
          <w:lang w:val="es-CL"/>
        </w:rPr>
      </w:pPr>
      <w:r>
        <w:rPr>
          <w:rFonts w:ascii="Verdana" w:hAnsi="Verdana"/>
          <w:lang w:val="es-CL"/>
        </w:rPr>
        <w:t>EM MCS</w:t>
      </w:r>
      <w:r w:rsidR="0000153C">
        <w:rPr>
          <w:rFonts w:ascii="Verdana" w:hAnsi="Verdana"/>
          <w:lang w:val="es-CL"/>
        </w:rPr>
        <w:t>/Est. M</w:t>
      </w:r>
      <w:r w:rsidR="00AD4B10">
        <w:rPr>
          <w:rFonts w:ascii="Verdana" w:hAnsi="Verdana"/>
          <w:lang w:val="es-CL"/>
        </w:rPr>
        <w:t>M</w:t>
      </w:r>
      <w:r w:rsidR="0000153C">
        <w:rPr>
          <w:rFonts w:ascii="Verdana" w:hAnsi="Verdana"/>
          <w:lang w:val="es-CL"/>
        </w:rPr>
        <w:t>M</w:t>
      </w:r>
    </w:p>
    <w:p w:rsidR="006E3B30" w:rsidRPr="00E72887" w:rsidRDefault="006E3B30" w:rsidP="006E3B30">
      <w:pPr>
        <w:jc w:val="both"/>
        <w:rPr>
          <w:rFonts w:ascii="Verdana" w:hAnsi="Verdana"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caps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caps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caps/>
          <w:lang w:val="es-CL"/>
        </w:rPr>
      </w:pPr>
    </w:p>
    <w:p w:rsidR="006E3B30" w:rsidRPr="00E72887" w:rsidRDefault="006E3B30" w:rsidP="006E3B30">
      <w:pPr>
        <w:jc w:val="both"/>
        <w:rPr>
          <w:rFonts w:ascii="Verdana" w:hAnsi="Verdana"/>
          <w:lang w:val="es-CL"/>
        </w:rPr>
      </w:pPr>
    </w:p>
    <w:p w:rsidR="006E3B30" w:rsidRPr="00FD73EE" w:rsidRDefault="006E3B30" w:rsidP="006E3B30">
      <w:pPr>
        <w:pStyle w:val="Textoindependiente"/>
        <w:rPr>
          <w:rFonts w:ascii="Verdana" w:hAnsi="Verdana"/>
          <w:caps/>
          <w:sz w:val="20"/>
        </w:rPr>
      </w:pPr>
      <w:r w:rsidRPr="00FD73EE">
        <w:rPr>
          <w:rFonts w:ascii="Verdana" w:hAnsi="Verdana"/>
          <w:caps/>
          <w:sz w:val="20"/>
        </w:rPr>
        <w:t>Situación de las Enfermedades Respiratorias</w:t>
      </w:r>
    </w:p>
    <w:p w:rsidR="006E3B30" w:rsidRPr="00FD73EE" w:rsidRDefault="006E3B30" w:rsidP="006E3B30">
      <w:pPr>
        <w:pStyle w:val="Textoindependiente"/>
        <w:rPr>
          <w:rFonts w:ascii="Verdana" w:hAnsi="Verdana"/>
          <w:caps/>
          <w:sz w:val="20"/>
        </w:rPr>
      </w:pPr>
    </w:p>
    <w:p w:rsidR="006E3B30" w:rsidRPr="00FD73EE" w:rsidRDefault="006E3B30" w:rsidP="006E3B30">
      <w:pPr>
        <w:pStyle w:val="Textoindependiente"/>
        <w:rPr>
          <w:rFonts w:ascii="Verdana" w:hAnsi="Verdana"/>
          <w:caps/>
          <w:sz w:val="20"/>
        </w:rPr>
      </w:pPr>
    </w:p>
    <w:p w:rsidR="006E3B30" w:rsidRPr="00FD73EE" w:rsidRDefault="006E3B30" w:rsidP="006E3B30">
      <w:pPr>
        <w:pStyle w:val="Textoindependiente"/>
        <w:rPr>
          <w:rFonts w:ascii="Verdana" w:hAnsi="Verdana"/>
          <w:caps/>
          <w:sz w:val="20"/>
        </w:rPr>
      </w:pPr>
      <w:r w:rsidRPr="00FD73EE">
        <w:rPr>
          <w:rFonts w:ascii="Verdana" w:hAnsi="Verdana"/>
          <w:caps/>
          <w:sz w:val="20"/>
        </w:rPr>
        <w:t>Servicio de Salud Aconcagua</w:t>
      </w:r>
    </w:p>
    <w:p w:rsidR="006E3B30" w:rsidRPr="00FD73EE" w:rsidRDefault="006E3B30" w:rsidP="006E3B30">
      <w:pPr>
        <w:pStyle w:val="Textoindependiente"/>
        <w:rPr>
          <w:rFonts w:ascii="Verdana" w:hAnsi="Verdana"/>
          <w:caps/>
          <w:sz w:val="20"/>
        </w:rPr>
      </w:pPr>
    </w:p>
    <w:p w:rsidR="006E3B30" w:rsidRPr="00FD73EE" w:rsidRDefault="006E3B30" w:rsidP="006E3B30">
      <w:pPr>
        <w:pStyle w:val="Textoindependiente"/>
        <w:jc w:val="left"/>
        <w:rPr>
          <w:rFonts w:ascii="Verdana" w:hAnsi="Verdana"/>
          <w:caps/>
          <w:sz w:val="20"/>
        </w:rPr>
      </w:pPr>
    </w:p>
    <w:p w:rsidR="006E3B30" w:rsidRDefault="006E3B30" w:rsidP="006E3B30">
      <w:pPr>
        <w:pStyle w:val="Textoindependiente"/>
        <w:rPr>
          <w:rFonts w:ascii="Verdana" w:hAnsi="Verdana"/>
          <w:sz w:val="20"/>
        </w:rPr>
      </w:pPr>
      <w:r w:rsidRPr="00FD73EE">
        <w:rPr>
          <w:rFonts w:ascii="Verdana" w:hAnsi="Verdana"/>
          <w:sz w:val="20"/>
        </w:rPr>
        <w:t xml:space="preserve">INFORME Nº </w:t>
      </w:r>
      <w:r w:rsidR="00FB2E3C">
        <w:rPr>
          <w:rFonts w:ascii="Verdana" w:hAnsi="Verdana"/>
          <w:sz w:val="20"/>
        </w:rPr>
        <w:t>1</w:t>
      </w:r>
    </w:p>
    <w:p w:rsidR="00BE52FE" w:rsidRPr="00FD73EE" w:rsidRDefault="00BE52FE" w:rsidP="006E3B30">
      <w:pPr>
        <w:pStyle w:val="Textoindependiente"/>
        <w:rPr>
          <w:rFonts w:ascii="Verdana" w:hAnsi="Verdana"/>
          <w:sz w:val="20"/>
        </w:rPr>
      </w:pPr>
    </w:p>
    <w:p w:rsidR="008321EF" w:rsidRDefault="006E3B30" w:rsidP="006A3C60">
      <w:pPr>
        <w:pStyle w:val="Textoindependiente"/>
        <w:rPr>
          <w:rFonts w:ascii="Verdana" w:hAnsi="Verdana"/>
          <w:sz w:val="20"/>
        </w:rPr>
      </w:pPr>
      <w:r w:rsidRPr="00FD73EE">
        <w:rPr>
          <w:rFonts w:ascii="Verdana" w:hAnsi="Verdana"/>
          <w:sz w:val="20"/>
        </w:rPr>
        <w:t>SEMANA EPID</w:t>
      </w:r>
      <w:r>
        <w:rPr>
          <w:rFonts w:ascii="Verdana" w:hAnsi="Verdana"/>
          <w:sz w:val="20"/>
        </w:rPr>
        <w:t>EMIOLÓ</w:t>
      </w:r>
      <w:r w:rsidR="00BE52FE">
        <w:rPr>
          <w:rFonts w:ascii="Verdana" w:hAnsi="Verdana"/>
          <w:sz w:val="20"/>
        </w:rPr>
        <w:t>GICA</w:t>
      </w:r>
      <w:r w:rsidR="00142FDF">
        <w:rPr>
          <w:rFonts w:ascii="Verdana" w:hAnsi="Verdana"/>
          <w:sz w:val="20"/>
        </w:rPr>
        <w:t xml:space="preserve"> 22</w:t>
      </w:r>
      <w:r w:rsidR="00BE52FE">
        <w:rPr>
          <w:rFonts w:ascii="Verdana" w:hAnsi="Verdana"/>
          <w:sz w:val="20"/>
        </w:rPr>
        <w:t xml:space="preserve"> </w:t>
      </w:r>
      <w:r w:rsidR="00FB2E3C">
        <w:rPr>
          <w:rFonts w:ascii="Verdana" w:hAnsi="Verdana"/>
          <w:sz w:val="20"/>
        </w:rPr>
        <w:t xml:space="preserve">(del </w:t>
      </w:r>
      <w:r w:rsidR="00142FDF">
        <w:rPr>
          <w:rFonts w:ascii="Verdana" w:hAnsi="Verdana"/>
          <w:sz w:val="20"/>
        </w:rPr>
        <w:t>28 de Mayo</w:t>
      </w:r>
      <w:r w:rsidR="00FB2E3C">
        <w:rPr>
          <w:rFonts w:ascii="Verdana" w:hAnsi="Verdana"/>
          <w:sz w:val="20"/>
        </w:rPr>
        <w:t xml:space="preserve"> al </w:t>
      </w:r>
      <w:r w:rsidR="00142FDF">
        <w:rPr>
          <w:rFonts w:ascii="Verdana" w:hAnsi="Verdana"/>
          <w:sz w:val="20"/>
        </w:rPr>
        <w:t>03</w:t>
      </w:r>
      <w:r w:rsidR="00C42AB4">
        <w:rPr>
          <w:rFonts w:ascii="Verdana" w:hAnsi="Verdana"/>
          <w:sz w:val="20"/>
        </w:rPr>
        <w:t xml:space="preserve"> </w:t>
      </w:r>
      <w:r w:rsidR="00707634">
        <w:rPr>
          <w:rFonts w:ascii="Verdana" w:hAnsi="Verdana"/>
          <w:sz w:val="20"/>
        </w:rPr>
        <w:t xml:space="preserve">de </w:t>
      </w:r>
      <w:r w:rsidR="00142FDF">
        <w:rPr>
          <w:rFonts w:ascii="Verdana" w:hAnsi="Verdana"/>
          <w:sz w:val="20"/>
        </w:rPr>
        <w:t>Junio</w:t>
      </w:r>
      <w:r w:rsidR="00707634">
        <w:rPr>
          <w:rFonts w:ascii="Verdana" w:hAnsi="Verdana"/>
          <w:sz w:val="20"/>
        </w:rPr>
        <w:t xml:space="preserve">) </w:t>
      </w:r>
      <w:r w:rsidR="00FC714A">
        <w:rPr>
          <w:rFonts w:ascii="Verdana" w:hAnsi="Verdana"/>
          <w:sz w:val="20"/>
        </w:rPr>
        <w:t>DEL AÑO 2018</w:t>
      </w:r>
    </w:p>
    <w:p w:rsidR="006E3B30" w:rsidRPr="00F62345" w:rsidRDefault="008321EF" w:rsidP="006A3C60">
      <w:pPr>
        <w:pStyle w:val="Textoindependiente"/>
        <w:rPr>
          <w:rFonts w:ascii="Verdana" w:hAnsi="Verdana"/>
          <w:sz w:val="20"/>
        </w:rPr>
      </w:pPr>
      <w:r w:rsidRPr="00F62345">
        <w:rPr>
          <w:rFonts w:ascii="Verdana" w:hAnsi="Verdana"/>
          <w:sz w:val="20"/>
        </w:rPr>
        <w:t xml:space="preserve"> </w:t>
      </w:r>
    </w:p>
    <w:p w:rsidR="006E3B30" w:rsidRPr="00FD73EE" w:rsidRDefault="006E3B30" w:rsidP="006E3B30">
      <w:pPr>
        <w:pStyle w:val="Textoindependiente"/>
        <w:rPr>
          <w:rFonts w:ascii="Verdana" w:hAnsi="Verdana"/>
          <w:sz w:val="20"/>
        </w:rPr>
      </w:pPr>
    </w:p>
    <w:p w:rsidR="006E3B30" w:rsidRPr="00FD73EE" w:rsidRDefault="006E3B30" w:rsidP="006E3B30">
      <w:pPr>
        <w:pStyle w:val="Textoindependiente"/>
        <w:rPr>
          <w:rFonts w:ascii="Verdana" w:hAnsi="Verdana"/>
          <w:sz w:val="20"/>
        </w:rPr>
      </w:pPr>
    </w:p>
    <w:p w:rsidR="006E3B30" w:rsidRPr="00FD73EE" w:rsidRDefault="006E3B30" w:rsidP="006E3B30">
      <w:pPr>
        <w:pStyle w:val="Textoindependiente"/>
        <w:rPr>
          <w:rFonts w:ascii="Verdana" w:hAnsi="Verdana"/>
          <w:sz w:val="20"/>
        </w:rPr>
      </w:pPr>
    </w:p>
    <w:p w:rsidR="006E3B30" w:rsidRPr="00FD73EE" w:rsidRDefault="006E3B30" w:rsidP="006E3B30">
      <w:pPr>
        <w:pStyle w:val="Ttulo1"/>
        <w:jc w:val="both"/>
        <w:rPr>
          <w:rFonts w:ascii="Verdana" w:hAnsi="Verdana"/>
          <w:sz w:val="20"/>
        </w:rPr>
      </w:pPr>
    </w:p>
    <w:p w:rsidR="006E3B30" w:rsidRPr="00FD73EE" w:rsidRDefault="006E3B30" w:rsidP="006E3B30">
      <w:pPr>
        <w:jc w:val="both"/>
        <w:rPr>
          <w:rFonts w:ascii="Verdana" w:hAnsi="Verdana"/>
          <w:lang w:val="es-MX"/>
        </w:rPr>
      </w:pPr>
    </w:p>
    <w:p w:rsidR="006E3B30" w:rsidRPr="000C29ED" w:rsidRDefault="006E3B30" w:rsidP="006E3B30">
      <w:pPr>
        <w:jc w:val="both"/>
        <w:rPr>
          <w:rFonts w:ascii="Verdana" w:hAnsi="Verdana"/>
          <w:lang w:val="es-MX"/>
        </w:rPr>
      </w:pPr>
    </w:p>
    <w:p w:rsidR="006E3B30" w:rsidRPr="008D14D8" w:rsidRDefault="006E3B30" w:rsidP="006E3B30">
      <w:pPr>
        <w:jc w:val="both"/>
        <w:rPr>
          <w:rFonts w:ascii="Verdana" w:hAnsi="Verdana"/>
          <w:lang w:val="es-MX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Pr="00FD73EE" w:rsidRDefault="006E3B30" w:rsidP="006E3B30">
      <w:pPr>
        <w:jc w:val="both"/>
        <w:rPr>
          <w:rFonts w:ascii="Verdana" w:hAnsi="Verdana"/>
        </w:rPr>
      </w:pPr>
    </w:p>
    <w:p w:rsidR="006E3B30" w:rsidRDefault="006E3B30" w:rsidP="006E3B30">
      <w:pPr>
        <w:jc w:val="both"/>
        <w:rPr>
          <w:rFonts w:ascii="Verdana" w:hAnsi="Verdana"/>
        </w:rPr>
      </w:pPr>
    </w:p>
    <w:p w:rsidR="007815CF" w:rsidRDefault="007815CF" w:rsidP="006E3B30">
      <w:pPr>
        <w:jc w:val="both"/>
        <w:rPr>
          <w:rFonts w:ascii="Verdana" w:hAnsi="Verdana"/>
        </w:rPr>
      </w:pPr>
    </w:p>
    <w:p w:rsidR="007815CF" w:rsidRDefault="007815CF" w:rsidP="006E3B30">
      <w:pPr>
        <w:jc w:val="both"/>
        <w:rPr>
          <w:rFonts w:ascii="Verdana" w:hAnsi="Verdana"/>
        </w:rPr>
      </w:pPr>
    </w:p>
    <w:p w:rsidR="007815CF" w:rsidRDefault="007815CF" w:rsidP="006E3B30">
      <w:pPr>
        <w:jc w:val="both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D86A73">
      <w:pPr>
        <w:spacing w:after="200" w:line="276" w:lineRule="auto"/>
        <w:rPr>
          <w:rFonts w:ascii="Verdana" w:hAnsi="Verdana"/>
        </w:rPr>
      </w:pPr>
    </w:p>
    <w:p w:rsidR="00BA0F23" w:rsidRDefault="00BA0F23" w:rsidP="00E12126">
      <w:pPr>
        <w:spacing w:after="200" w:line="276" w:lineRule="auto"/>
        <w:rPr>
          <w:rFonts w:ascii="Verdana" w:hAnsi="Verdana"/>
          <w:b/>
          <w:u w:val="single"/>
        </w:rPr>
      </w:pPr>
      <w:r w:rsidRPr="00BA0F23">
        <w:rPr>
          <w:rFonts w:ascii="Verdana" w:hAnsi="Verdana"/>
          <w:b/>
          <w:u w:val="single"/>
        </w:rPr>
        <w:lastRenderedPageBreak/>
        <w:t>ATENCIÓN PRIMARIA:</w:t>
      </w:r>
    </w:p>
    <w:p w:rsidR="00BA0F23" w:rsidRPr="00BA0F23" w:rsidRDefault="00BA0F23" w:rsidP="00BA0F23">
      <w:pPr>
        <w:spacing w:after="200" w:line="276" w:lineRule="auto"/>
        <w:jc w:val="center"/>
        <w:rPr>
          <w:rFonts w:ascii="Verdana" w:hAnsi="Verdana"/>
          <w:b/>
          <w:u w:val="single"/>
        </w:rPr>
      </w:pPr>
    </w:p>
    <w:p w:rsidR="00B5433F" w:rsidRPr="00BA0F23" w:rsidRDefault="00D86A73" w:rsidP="00BA0F23">
      <w:pPr>
        <w:pStyle w:val="Sangradetextonormal"/>
        <w:numPr>
          <w:ilvl w:val="0"/>
          <w:numId w:val="29"/>
        </w:numPr>
        <w:rPr>
          <w:rFonts w:ascii="Verdana" w:hAnsi="Verdana"/>
          <w:b/>
          <w:sz w:val="20"/>
        </w:rPr>
      </w:pPr>
      <w:r w:rsidRPr="00BA0F23">
        <w:rPr>
          <w:rFonts w:ascii="Verdana" w:hAnsi="Verdana"/>
          <w:b/>
          <w:sz w:val="20"/>
        </w:rPr>
        <w:t xml:space="preserve">CONSULTAS AMBULATORIAS ATENCIÓN </w:t>
      </w:r>
      <w:r w:rsidR="00BA0F23" w:rsidRPr="00BA0F23">
        <w:rPr>
          <w:rFonts w:ascii="Verdana" w:hAnsi="Verdana"/>
          <w:b/>
          <w:sz w:val="20"/>
        </w:rPr>
        <w:t>PRIMARIA EN MENORES DE 15 AÑOS,</w:t>
      </w:r>
      <w:r w:rsidR="00196C0C">
        <w:rPr>
          <w:rFonts w:ascii="Verdana" w:hAnsi="Verdana"/>
          <w:b/>
          <w:sz w:val="20"/>
        </w:rPr>
        <w:t xml:space="preserve"> 2016</w:t>
      </w:r>
      <w:r w:rsidRPr="00BA0F23">
        <w:rPr>
          <w:rFonts w:ascii="Verdana" w:hAnsi="Verdana"/>
          <w:b/>
          <w:sz w:val="20"/>
        </w:rPr>
        <w:t>-2018.</w:t>
      </w:r>
    </w:p>
    <w:p w:rsidR="007E06B6" w:rsidRDefault="007E06B6" w:rsidP="00B5433F">
      <w:pPr>
        <w:pStyle w:val="Sangradetextonormal"/>
        <w:ind w:firstLine="0"/>
        <w:jc w:val="center"/>
        <w:rPr>
          <w:rFonts w:ascii="Verdana" w:hAnsi="Verdana"/>
          <w:b/>
          <w:sz w:val="20"/>
          <w:u w:val="single"/>
        </w:rPr>
      </w:pPr>
    </w:p>
    <w:p w:rsidR="00FC714A" w:rsidRDefault="00FF3E29" w:rsidP="00B5433F">
      <w:pPr>
        <w:pStyle w:val="Sangradetextonormal"/>
        <w:ind w:firstLine="0"/>
        <w:jc w:val="center"/>
        <w:rPr>
          <w:rFonts w:ascii="Verdana" w:hAnsi="Verdana"/>
          <w:b/>
          <w:sz w:val="20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E2F09AF" wp14:editId="39775617">
            <wp:extent cx="5210175" cy="31527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714A" w:rsidRDefault="00FC714A" w:rsidP="00B5433F">
      <w:pPr>
        <w:pStyle w:val="Sangradetextonormal"/>
        <w:ind w:firstLine="0"/>
        <w:jc w:val="center"/>
        <w:rPr>
          <w:rFonts w:ascii="Verdana" w:hAnsi="Verdana"/>
          <w:b/>
          <w:sz w:val="20"/>
          <w:u w:val="single"/>
        </w:rPr>
      </w:pPr>
    </w:p>
    <w:p w:rsidR="00B5433F" w:rsidRPr="00EF2BB6" w:rsidRDefault="00EF2BB6" w:rsidP="00CC0670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 w:rsidRPr="00EF2BB6">
        <w:rPr>
          <w:rFonts w:asciiTheme="minorHAnsi" w:hAnsiTheme="minorHAnsi"/>
          <w:sz w:val="16"/>
          <w:szCs w:val="16"/>
        </w:rPr>
        <w:t>Fuente: Epidemiología CESFAM Cordillera Andina</w:t>
      </w:r>
    </w:p>
    <w:p w:rsidR="00B5433F" w:rsidRDefault="00B5433F" w:rsidP="00CC0670">
      <w:pPr>
        <w:pStyle w:val="Sangradetextonormal"/>
        <w:ind w:firstLine="708"/>
        <w:jc w:val="right"/>
      </w:pPr>
    </w:p>
    <w:p w:rsidR="006E3B30" w:rsidRPr="00196C0C" w:rsidRDefault="003A0D65" w:rsidP="006E3B30">
      <w:pPr>
        <w:pStyle w:val="Sangradetextonormal"/>
        <w:ind w:firstLine="0"/>
        <w:jc w:val="both"/>
        <w:rPr>
          <w:rFonts w:ascii="Verdana" w:hAnsi="Verdana"/>
          <w:color w:val="FF0000"/>
          <w:sz w:val="20"/>
        </w:rPr>
      </w:pPr>
      <w:r w:rsidRPr="00FD18BA">
        <w:rPr>
          <w:rFonts w:ascii="Verdana" w:hAnsi="Verdana"/>
          <w:sz w:val="20"/>
        </w:rPr>
        <w:t>En relación a las Consultas ambulatorias de menores de 15 años registradas en Atención Pr</w:t>
      </w:r>
      <w:r w:rsidR="00D57AF5" w:rsidRPr="00FD18BA">
        <w:rPr>
          <w:rFonts w:ascii="Verdana" w:hAnsi="Verdana"/>
          <w:sz w:val="20"/>
        </w:rPr>
        <w:t>imaria, específicamente en CESFA</w:t>
      </w:r>
      <w:r w:rsidR="006A0835">
        <w:rPr>
          <w:rFonts w:ascii="Verdana" w:hAnsi="Verdana"/>
          <w:sz w:val="20"/>
        </w:rPr>
        <w:t>M Cordillera Andina</w:t>
      </w:r>
      <w:r w:rsidR="002C4F9A">
        <w:rPr>
          <w:rFonts w:ascii="Verdana" w:hAnsi="Verdana"/>
          <w:sz w:val="20"/>
        </w:rPr>
        <w:t>,</w:t>
      </w:r>
      <w:r w:rsidR="006A0835">
        <w:rPr>
          <w:rFonts w:ascii="Verdana" w:hAnsi="Verdana"/>
          <w:sz w:val="20"/>
        </w:rPr>
        <w:t xml:space="preserve"> </w:t>
      </w:r>
      <w:r w:rsidRPr="00FD18BA">
        <w:rPr>
          <w:rFonts w:ascii="Verdana" w:hAnsi="Verdana"/>
          <w:sz w:val="20"/>
        </w:rPr>
        <w:t xml:space="preserve">se </w:t>
      </w:r>
      <w:r w:rsidR="006A0835">
        <w:rPr>
          <w:rFonts w:ascii="Verdana" w:hAnsi="Verdana"/>
          <w:sz w:val="20"/>
        </w:rPr>
        <w:t xml:space="preserve">observa que la </w:t>
      </w:r>
      <w:r w:rsidR="0044219C" w:rsidRPr="00FD18BA">
        <w:rPr>
          <w:rFonts w:ascii="Verdana" w:hAnsi="Verdana"/>
          <w:sz w:val="20"/>
        </w:rPr>
        <w:t xml:space="preserve">última semana </w:t>
      </w:r>
      <w:r w:rsidR="00FD12B3" w:rsidRPr="00FD18BA">
        <w:rPr>
          <w:rFonts w:ascii="Verdana" w:hAnsi="Verdana"/>
          <w:sz w:val="20"/>
        </w:rPr>
        <w:t>h</w:t>
      </w:r>
      <w:r w:rsidR="00FD12B3" w:rsidRPr="00E12126">
        <w:rPr>
          <w:rFonts w:ascii="Verdana" w:hAnsi="Verdana"/>
          <w:sz w:val="20"/>
        </w:rPr>
        <w:t>a</w:t>
      </w:r>
      <w:r w:rsidR="00E12126">
        <w:rPr>
          <w:rFonts w:ascii="Verdana" w:hAnsi="Verdana"/>
          <w:sz w:val="20"/>
        </w:rPr>
        <w:t>n</w:t>
      </w:r>
      <w:r w:rsidR="00FD12B3" w:rsidRPr="00E12126">
        <w:rPr>
          <w:rFonts w:ascii="Verdana" w:hAnsi="Verdana"/>
          <w:sz w:val="20"/>
        </w:rPr>
        <w:t xml:space="preserve"> </w:t>
      </w:r>
      <w:r w:rsidR="00FD12B3" w:rsidRPr="00FD18BA">
        <w:rPr>
          <w:rFonts w:ascii="Verdana" w:hAnsi="Verdana"/>
          <w:sz w:val="20"/>
        </w:rPr>
        <w:t xml:space="preserve">presentado </w:t>
      </w:r>
      <w:r w:rsidR="006D19C0">
        <w:rPr>
          <w:rFonts w:ascii="Verdana" w:hAnsi="Verdana"/>
          <w:sz w:val="20"/>
        </w:rPr>
        <w:t>un</w:t>
      </w:r>
      <w:r w:rsidR="006D19C0" w:rsidRPr="00196C0C">
        <w:rPr>
          <w:rFonts w:ascii="Verdana" w:hAnsi="Verdana"/>
          <w:sz w:val="20"/>
        </w:rPr>
        <w:t xml:space="preserve"> </w:t>
      </w:r>
      <w:r w:rsidR="00196C0C" w:rsidRPr="00196C0C">
        <w:rPr>
          <w:rFonts w:ascii="Verdana" w:hAnsi="Verdana"/>
          <w:sz w:val="20"/>
        </w:rPr>
        <w:t>aumento de un 74</w:t>
      </w:r>
      <w:r w:rsidR="0029049C" w:rsidRPr="00196C0C">
        <w:rPr>
          <w:rFonts w:ascii="Verdana" w:hAnsi="Verdana"/>
          <w:sz w:val="20"/>
        </w:rPr>
        <w:t xml:space="preserve">% en comparación con </w:t>
      </w:r>
      <w:r w:rsidR="00426E03" w:rsidRPr="00196C0C">
        <w:rPr>
          <w:rFonts w:ascii="Verdana" w:hAnsi="Verdana"/>
          <w:sz w:val="20"/>
        </w:rPr>
        <w:t xml:space="preserve">la semana </w:t>
      </w:r>
      <w:r w:rsidR="00B94193" w:rsidRPr="00196C0C">
        <w:rPr>
          <w:rFonts w:ascii="Verdana" w:hAnsi="Verdana"/>
          <w:sz w:val="20"/>
        </w:rPr>
        <w:t xml:space="preserve">epidemiológica </w:t>
      </w:r>
      <w:r w:rsidR="00426E03" w:rsidRPr="00196C0C">
        <w:rPr>
          <w:rFonts w:ascii="Verdana" w:hAnsi="Verdana"/>
          <w:sz w:val="20"/>
        </w:rPr>
        <w:t xml:space="preserve">anterior </w:t>
      </w:r>
      <w:r w:rsidR="00196C0C" w:rsidRPr="00196C0C">
        <w:rPr>
          <w:rFonts w:ascii="Verdana" w:hAnsi="Verdana"/>
          <w:sz w:val="20"/>
        </w:rPr>
        <w:t>con 20</w:t>
      </w:r>
      <w:r w:rsidR="005B5038" w:rsidRPr="00196C0C">
        <w:rPr>
          <w:rFonts w:ascii="Verdana" w:hAnsi="Verdana"/>
          <w:sz w:val="20"/>
        </w:rPr>
        <w:t xml:space="preserve"> consultas </w:t>
      </w:r>
      <w:r w:rsidR="002C4F9A" w:rsidRPr="00196C0C">
        <w:rPr>
          <w:rFonts w:ascii="Verdana" w:hAnsi="Verdana"/>
          <w:sz w:val="20"/>
        </w:rPr>
        <w:t>má</w:t>
      </w:r>
      <w:r w:rsidR="00B94193" w:rsidRPr="00196C0C">
        <w:rPr>
          <w:rFonts w:ascii="Verdana" w:hAnsi="Verdana"/>
          <w:sz w:val="20"/>
        </w:rPr>
        <w:t>s</w:t>
      </w:r>
      <w:r w:rsidR="00030593">
        <w:rPr>
          <w:rFonts w:ascii="Verdana" w:hAnsi="Verdana"/>
          <w:sz w:val="20"/>
        </w:rPr>
        <w:t>, ubicándose en la zona de éxito</w:t>
      </w:r>
      <w:r w:rsidR="00196C0C" w:rsidRPr="00196C0C">
        <w:rPr>
          <w:rFonts w:ascii="Verdana" w:hAnsi="Verdana"/>
          <w:sz w:val="20"/>
        </w:rPr>
        <w:t xml:space="preserve">. </w:t>
      </w:r>
      <w:r w:rsidR="00D95782" w:rsidRPr="00196C0C">
        <w:rPr>
          <w:rFonts w:ascii="Verdana" w:hAnsi="Verdana"/>
          <w:sz w:val="20"/>
        </w:rPr>
        <w:t>S</w:t>
      </w:r>
      <w:r w:rsidR="006A0835" w:rsidRPr="00196C0C">
        <w:rPr>
          <w:rFonts w:ascii="Verdana" w:hAnsi="Verdana"/>
          <w:sz w:val="20"/>
        </w:rPr>
        <w:t xml:space="preserve">i lo comparamos con el año </w:t>
      </w:r>
      <w:r w:rsidR="00D95782" w:rsidRPr="00196C0C">
        <w:rPr>
          <w:rFonts w:ascii="Verdana" w:hAnsi="Verdana"/>
          <w:sz w:val="20"/>
        </w:rPr>
        <w:t>anterior presenta un aumento de</w:t>
      </w:r>
      <w:r w:rsidR="006A0835" w:rsidRPr="00196C0C">
        <w:rPr>
          <w:rFonts w:ascii="Verdana" w:hAnsi="Verdana"/>
          <w:sz w:val="20"/>
        </w:rPr>
        <w:t xml:space="preserve"> </w:t>
      </w:r>
      <w:r w:rsidR="00D95782" w:rsidRPr="00196C0C">
        <w:rPr>
          <w:rFonts w:ascii="Verdana" w:hAnsi="Verdana"/>
          <w:sz w:val="20"/>
        </w:rPr>
        <w:t xml:space="preserve">un </w:t>
      </w:r>
      <w:r w:rsidR="00196C0C" w:rsidRPr="00196C0C">
        <w:rPr>
          <w:rFonts w:ascii="Verdana" w:hAnsi="Verdana"/>
          <w:sz w:val="20"/>
        </w:rPr>
        <w:t>27</w:t>
      </w:r>
      <w:r w:rsidR="006A0835" w:rsidRPr="00196C0C">
        <w:rPr>
          <w:rFonts w:ascii="Verdana" w:hAnsi="Verdana"/>
          <w:sz w:val="20"/>
        </w:rPr>
        <w:t xml:space="preserve">% </w:t>
      </w:r>
      <w:r w:rsidR="00196C0C" w:rsidRPr="00196C0C">
        <w:rPr>
          <w:rFonts w:ascii="Verdana" w:hAnsi="Verdana"/>
          <w:sz w:val="20"/>
        </w:rPr>
        <w:t>con 10</w:t>
      </w:r>
      <w:r w:rsidR="00D95782" w:rsidRPr="00196C0C">
        <w:rPr>
          <w:rFonts w:ascii="Verdana" w:hAnsi="Verdana"/>
          <w:sz w:val="20"/>
        </w:rPr>
        <w:t xml:space="preserve"> consultas más.</w:t>
      </w:r>
    </w:p>
    <w:p w:rsidR="00BA0F23" w:rsidRDefault="00BA0F23" w:rsidP="006E3B30">
      <w:pPr>
        <w:pStyle w:val="Sangradetextonormal"/>
        <w:ind w:firstLine="0"/>
        <w:jc w:val="both"/>
        <w:rPr>
          <w:rFonts w:ascii="Verdana" w:hAnsi="Verdana"/>
          <w:sz w:val="20"/>
        </w:rPr>
      </w:pPr>
    </w:p>
    <w:p w:rsidR="00BA0F23" w:rsidRDefault="00BA0F23" w:rsidP="006E3B30">
      <w:pPr>
        <w:pStyle w:val="Sangradetextonormal"/>
        <w:ind w:firstLine="0"/>
        <w:jc w:val="both"/>
        <w:rPr>
          <w:rFonts w:ascii="Verdana" w:hAnsi="Verdana"/>
          <w:sz w:val="20"/>
        </w:rPr>
      </w:pPr>
    </w:p>
    <w:p w:rsidR="00BA0F23" w:rsidRPr="00F94884" w:rsidRDefault="00BA0F23" w:rsidP="00BA0F23">
      <w:pPr>
        <w:pStyle w:val="Prrafodelista"/>
        <w:numPr>
          <w:ilvl w:val="0"/>
          <w:numId w:val="29"/>
        </w:numPr>
        <w:spacing w:after="200" w:line="276" w:lineRule="auto"/>
        <w:rPr>
          <w:rFonts w:ascii="Verdana" w:hAnsi="Verdana"/>
          <w:b/>
        </w:rPr>
      </w:pPr>
      <w:r w:rsidRPr="00F94884">
        <w:rPr>
          <w:rFonts w:ascii="Verdana" w:hAnsi="Verdana"/>
          <w:b/>
        </w:rPr>
        <w:t xml:space="preserve">CONSULTAS AMBULATORIAS ATENCIÓN PRIMARIA EN MAYORES DE 15 AÑOS, </w:t>
      </w:r>
      <w:r w:rsidR="00196C0C" w:rsidRPr="00F94884">
        <w:rPr>
          <w:rFonts w:ascii="Verdana" w:hAnsi="Verdana"/>
          <w:b/>
        </w:rPr>
        <w:t>2016</w:t>
      </w:r>
      <w:r w:rsidRPr="00F94884">
        <w:rPr>
          <w:rFonts w:ascii="Verdana" w:hAnsi="Verdana"/>
          <w:b/>
        </w:rPr>
        <w:t>-2018.</w:t>
      </w:r>
    </w:p>
    <w:p w:rsidR="00196C0C" w:rsidRDefault="00196C0C" w:rsidP="00196C0C">
      <w:pPr>
        <w:pStyle w:val="Prrafodelista"/>
        <w:spacing w:after="200" w:line="276" w:lineRule="auto"/>
        <w:rPr>
          <w:rFonts w:ascii="Verdana" w:hAnsi="Verdana"/>
          <w:b/>
          <w:u w:val="single"/>
        </w:rPr>
      </w:pPr>
    </w:p>
    <w:p w:rsidR="00196C0C" w:rsidRPr="00BA0F23" w:rsidRDefault="00196C0C" w:rsidP="00196C0C">
      <w:pPr>
        <w:pStyle w:val="Prrafodelista"/>
        <w:spacing w:after="200" w:line="276" w:lineRule="auto"/>
        <w:rPr>
          <w:rFonts w:ascii="Verdana" w:hAnsi="Verdana"/>
          <w:b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5AAD7F77" wp14:editId="1124606F">
            <wp:extent cx="4848225" cy="282892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0F23" w:rsidRDefault="00BA0F23" w:rsidP="00BA0F23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F</w:t>
      </w:r>
      <w:r w:rsidRPr="00EF2BB6">
        <w:rPr>
          <w:rFonts w:asciiTheme="minorHAnsi" w:hAnsiTheme="minorHAnsi"/>
          <w:sz w:val="16"/>
          <w:szCs w:val="16"/>
        </w:rPr>
        <w:t>uente: Epidemiología CESFAM Cordillera Andina</w:t>
      </w:r>
    </w:p>
    <w:p w:rsidR="00BA0F23" w:rsidRPr="00304297" w:rsidRDefault="00BA0F23" w:rsidP="00BA0F23">
      <w:pPr>
        <w:pStyle w:val="Sangradetextonormal"/>
        <w:ind w:firstLine="0"/>
        <w:jc w:val="right"/>
        <w:rPr>
          <w:rFonts w:ascii="Verdana" w:hAnsi="Verdana"/>
          <w:b/>
          <w:color w:val="FF0000"/>
          <w:sz w:val="20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A0F23" w:rsidRPr="00196C0C" w:rsidRDefault="00BA0F23" w:rsidP="00BA0F23">
      <w:pPr>
        <w:pStyle w:val="Sangradetextonormal"/>
        <w:ind w:firstLine="0"/>
        <w:jc w:val="both"/>
        <w:rPr>
          <w:rFonts w:ascii="Verdana" w:hAnsi="Verdana"/>
          <w:color w:val="FF0000"/>
          <w:sz w:val="20"/>
        </w:rPr>
      </w:pPr>
      <w:r w:rsidRPr="0001205A">
        <w:rPr>
          <w:rFonts w:ascii="Verdana" w:hAnsi="Verdana"/>
          <w:sz w:val="20"/>
        </w:rPr>
        <w:t>En relación a las Consultas ambulatorias de mayores de 15 años registradas en Atención Primaria, en CESFAM Cordillera Andina éstas han presentado un</w:t>
      </w:r>
      <w:r>
        <w:rPr>
          <w:rFonts w:ascii="Verdana" w:hAnsi="Verdana"/>
          <w:sz w:val="20"/>
        </w:rPr>
        <w:t xml:space="preserve"> aumento  de un</w:t>
      </w:r>
      <w:r w:rsidRPr="005D7C1A">
        <w:rPr>
          <w:rFonts w:ascii="Verdana" w:hAnsi="Verdana"/>
          <w:sz w:val="20"/>
        </w:rPr>
        <w:t xml:space="preserve"> </w:t>
      </w:r>
      <w:r w:rsidR="005D7C1A" w:rsidRPr="005D7C1A">
        <w:rPr>
          <w:rFonts w:ascii="Verdana" w:hAnsi="Verdana"/>
          <w:sz w:val="20"/>
        </w:rPr>
        <w:t>142</w:t>
      </w:r>
      <w:r w:rsidRPr="005D7C1A">
        <w:rPr>
          <w:rFonts w:ascii="Verdana" w:hAnsi="Verdana"/>
          <w:sz w:val="20"/>
        </w:rPr>
        <w:t xml:space="preserve">% comparado con la semana epidemiológica anterior con </w:t>
      </w:r>
      <w:r w:rsidR="005D7C1A" w:rsidRPr="005D7C1A">
        <w:rPr>
          <w:rFonts w:ascii="Verdana" w:hAnsi="Verdana"/>
          <w:sz w:val="20"/>
        </w:rPr>
        <w:t>27</w:t>
      </w:r>
      <w:r w:rsidRPr="005D7C1A">
        <w:rPr>
          <w:rFonts w:ascii="Verdana" w:hAnsi="Verdana"/>
          <w:sz w:val="20"/>
        </w:rPr>
        <w:t xml:space="preserve"> consultas más, ubicándose </w:t>
      </w:r>
      <w:r w:rsidR="00030593">
        <w:rPr>
          <w:rFonts w:ascii="Verdana" w:hAnsi="Verdana"/>
          <w:sz w:val="20"/>
        </w:rPr>
        <w:t xml:space="preserve">sobre </w:t>
      </w:r>
      <w:r w:rsidRPr="005D7C1A">
        <w:rPr>
          <w:rFonts w:ascii="Verdana" w:hAnsi="Verdana"/>
          <w:sz w:val="20"/>
        </w:rPr>
        <w:t>la zona de alerta. Si lo comparamos con el año ant</w:t>
      </w:r>
      <w:r w:rsidR="005D7C1A" w:rsidRPr="005D7C1A">
        <w:rPr>
          <w:rFonts w:ascii="Verdana" w:hAnsi="Verdana"/>
          <w:sz w:val="20"/>
        </w:rPr>
        <w:t>erior presenta un aumento de 92% con 22</w:t>
      </w:r>
      <w:r w:rsidRPr="005D7C1A">
        <w:rPr>
          <w:rFonts w:ascii="Verdana" w:hAnsi="Verdana"/>
          <w:sz w:val="20"/>
        </w:rPr>
        <w:t xml:space="preserve"> consultas más.</w:t>
      </w:r>
    </w:p>
    <w:p w:rsidR="00BA0F23" w:rsidRPr="00F94884" w:rsidRDefault="00CD0012" w:rsidP="00030593">
      <w:pPr>
        <w:pStyle w:val="Prrafodelista"/>
        <w:numPr>
          <w:ilvl w:val="0"/>
          <w:numId w:val="29"/>
        </w:numPr>
        <w:spacing w:after="200" w:line="276" w:lineRule="auto"/>
        <w:rPr>
          <w:rFonts w:ascii="Verdana" w:hAnsi="Verdana"/>
          <w:b/>
          <w:lang w:val="es-MX"/>
        </w:rPr>
      </w:pPr>
      <w:r w:rsidRPr="00030593">
        <w:rPr>
          <w:lang w:val="es-MX"/>
        </w:rPr>
        <w:br w:type="page"/>
      </w:r>
      <w:r w:rsidR="00BA0F23" w:rsidRPr="00F94884">
        <w:rPr>
          <w:rFonts w:ascii="Verdana" w:hAnsi="Verdana"/>
          <w:b/>
          <w:lang w:val="es-MX"/>
        </w:rPr>
        <w:lastRenderedPageBreak/>
        <w:t>CONSULTAS AMBULATORIAS SAPU EN MENORES DE 15 AÑOS,</w:t>
      </w:r>
      <w:r w:rsidR="00141356" w:rsidRPr="00F94884">
        <w:rPr>
          <w:rFonts w:ascii="Verdana" w:hAnsi="Verdana"/>
          <w:b/>
          <w:lang w:val="es-MX"/>
        </w:rPr>
        <w:t xml:space="preserve"> </w:t>
      </w:r>
      <w:r w:rsidR="00E8363F" w:rsidRPr="00F94884">
        <w:rPr>
          <w:rFonts w:ascii="Verdana" w:hAnsi="Verdana"/>
          <w:b/>
          <w:lang w:val="es-MX"/>
        </w:rPr>
        <w:t>2016-</w:t>
      </w:r>
      <w:r w:rsidR="00BA0F23" w:rsidRPr="00F94884">
        <w:rPr>
          <w:rFonts w:ascii="Verdana" w:hAnsi="Verdana"/>
          <w:b/>
          <w:lang w:val="es-MX"/>
        </w:rPr>
        <w:t>2018.</w:t>
      </w:r>
    </w:p>
    <w:p w:rsidR="00F4393B" w:rsidRPr="00BA0F23" w:rsidRDefault="00F4393B" w:rsidP="00F4393B">
      <w:pPr>
        <w:pStyle w:val="Prrafodelista"/>
        <w:rPr>
          <w:rFonts w:ascii="Verdana" w:hAnsi="Verdana"/>
          <w:b/>
          <w:u w:val="single"/>
          <w:lang w:val="es-MX"/>
        </w:rPr>
      </w:pPr>
    </w:p>
    <w:p w:rsidR="00BA0F23" w:rsidRPr="001C2227" w:rsidRDefault="001C2227" w:rsidP="00E8363F">
      <w:pPr>
        <w:jc w:val="center"/>
        <w:rPr>
          <w:rFonts w:ascii="Verdana" w:hAnsi="Verdana"/>
          <w:b/>
          <w:u w:val="single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763C0BA2" wp14:editId="5EB4F56A">
            <wp:extent cx="5276850" cy="326707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0F23" w:rsidRPr="00137BF6" w:rsidRDefault="00BA0F23" w:rsidP="00BA0F23">
      <w:pPr>
        <w:jc w:val="center"/>
        <w:rPr>
          <w:rFonts w:ascii="Verdana" w:hAnsi="Verdana"/>
          <w:b/>
          <w:u w:val="single"/>
          <w:lang w:val="es-MX"/>
        </w:rPr>
      </w:pPr>
    </w:p>
    <w:p w:rsidR="00BA0F23" w:rsidRDefault="00BA0F23" w:rsidP="00BA0F23">
      <w:pPr>
        <w:jc w:val="both"/>
        <w:rPr>
          <w:rFonts w:ascii="Verdana" w:hAnsi="Verdana"/>
          <w:lang w:val="es-MX"/>
        </w:rPr>
      </w:pPr>
      <w:r w:rsidRPr="00137BF6">
        <w:rPr>
          <w:rFonts w:ascii="Verdana" w:hAnsi="Verdana"/>
          <w:lang w:val="es-MX"/>
        </w:rPr>
        <w:t xml:space="preserve">En relación a las Consultas ambulatorias de menores de 15 años registradas en SAPU, específicamente en SAPU San Felipe, se observa que </w:t>
      </w:r>
      <w:r w:rsidR="00B94D1B" w:rsidRPr="00E12126">
        <w:rPr>
          <w:rFonts w:ascii="Verdana" w:hAnsi="Verdana"/>
          <w:lang w:val="es-MX"/>
        </w:rPr>
        <w:t xml:space="preserve">en </w:t>
      </w:r>
      <w:r w:rsidRPr="00E12126">
        <w:rPr>
          <w:rFonts w:ascii="Verdana" w:hAnsi="Verdana"/>
          <w:lang w:val="es-MX"/>
        </w:rPr>
        <w:t xml:space="preserve">la última semana </w:t>
      </w:r>
      <w:r w:rsidR="00B94D1B" w:rsidRPr="00E12126">
        <w:rPr>
          <w:rFonts w:ascii="Verdana" w:hAnsi="Verdana"/>
          <w:lang w:val="es-MX"/>
        </w:rPr>
        <w:t>se ha</w:t>
      </w:r>
      <w:r w:rsidRPr="00E12126">
        <w:rPr>
          <w:rFonts w:ascii="Verdana" w:hAnsi="Verdana"/>
          <w:lang w:val="es-MX"/>
        </w:rPr>
        <w:t xml:space="preserve"> </w:t>
      </w:r>
      <w:r w:rsidRPr="00137BF6">
        <w:rPr>
          <w:rFonts w:ascii="Verdana" w:hAnsi="Verdana"/>
          <w:lang w:val="es-MX"/>
        </w:rPr>
        <w:t xml:space="preserve">presentado </w:t>
      </w:r>
      <w:r w:rsidR="001C2227">
        <w:rPr>
          <w:rFonts w:ascii="Verdana" w:hAnsi="Verdana"/>
          <w:lang w:val="es-MX"/>
        </w:rPr>
        <w:t>un disminución de un 21</w:t>
      </w:r>
      <w:r w:rsidRPr="00137BF6">
        <w:rPr>
          <w:rFonts w:ascii="Verdana" w:hAnsi="Verdana"/>
          <w:lang w:val="es-MX"/>
        </w:rPr>
        <w:t xml:space="preserve">% en comparación con la semana epidemiológica anterior </w:t>
      </w:r>
      <w:r w:rsidR="00F4393B">
        <w:rPr>
          <w:rFonts w:ascii="Verdana" w:hAnsi="Verdana"/>
          <w:lang w:val="es-MX"/>
        </w:rPr>
        <w:t>con</w:t>
      </w:r>
      <w:r w:rsidR="001C2227">
        <w:rPr>
          <w:rFonts w:ascii="Verdana" w:hAnsi="Verdana"/>
          <w:lang w:val="es-MX"/>
        </w:rPr>
        <w:t xml:space="preserve"> 12</w:t>
      </w:r>
      <w:r>
        <w:rPr>
          <w:rFonts w:ascii="Verdana" w:hAnsi="Verdana"/>
          <w:lang w:val="es-MX"/>
        </w:rPr>
        <w:t xml:space="preserve"> </w:t>
      </w:r>
      <w:r w:rsidRPr="00137BF6">
        <w:rPr>
          <w:rFonts w:ascii="Verdana" w:hAnsi="Verdana"/>
          <w:lang w:val="es-MX"/>
        </w:rPr>
        <w:t>co</w:t>
      </w:r>
      <w:r w:rsidR="00F4393B">
        <w:rPr>
          <w:rFonts w:ascii="Verdana" w:hAnsi="Verdana"/>
          <w:lang w:val="es-MX"/>
        </w:rPr>
        <w:t>nsultas meno</w:t>
      </w:r>
      <w:r w:rsidRPr="00137BF6">
        <w:rPr>
          <w:rFonts w:ascii="Verdana" w:hAnsi="Verdana"/>
          <w:lang w:val="es-MX"/>
        </w:rPr>
        <w:t>s</w:t>
      </w:r>
      <w:r w:rsidR="001C2227">
        <w:rPr>
          <w:rFonts w:ascii="Verdana" w:hAnsi="Verdana"/>
          <w:lang w:val="es-MX"/>
        </w:rPr>
        <w:t xml:space="preserve">, </w:t>
      </w:r>
      <w:r w:rsidR="001C2227" w:rsidRPr="005D7C1A">
        <w:rPr>
          <w:rFonts w:ascii="Verdana" w:hAnsi="Verdana"/>
        </w:rPr>
        <w:t>ubicándose</w:t>
      </w:r>
      <w:r w:rsidR="001C2227">
        <w:rPr>
          <w:rFonts w:ascii="Verdana" w:hAnsi="Verdana"/>
        </w:rPr>
        <w:t xml:space="preserve"> en la zona de éxito</w:t>
      </w:r>
      <w:r w:rsidRPr="00137BF6">
        <w:rPr>
          <w:rFonts w:ascii="Verdana" w:hAnsi="Verdana"/>
          <w:lang w:val="es-MX"/>
        </w:rPr>
        <w:t>. Si lo comparamos con el año anterior presenta un</w:t>
      </w:r>
      <w:r>
        <w:rPr>
          <w:rFonts w:ascii="Verdana" w:hAnsi="Verdana"/>
          <w:lang w:val="es-MX"/>
        </w:rPr>
        <w:t>a disminución</w:t>
      </w:r>
      <w:r w:rsidRPr="00137BF6">
        <w:rPr>
          <w:rFonts w:ascii="Verdana" w:hAnsi="Verdana"/>
          <w:lang w:val="es-MX"/>
        </w:rPr>
        <w:t xml:space="preserve"> </w:t>
      </w:r>
      <w:r w:rsidR="001C2227">
        <w:rPr>
          <w:rFonts w:ascii="Verdana" w:hAnsi="Verdana"/>
          <w:lang w:val="es-MX"/>
        </w:rPr>
        <w:t>de un 73</w:t>
      </w:r>
      <w:r>
        <w:rPr>
          <w:rFonts w:ascii="Verdana" w:hAnsi="Verdana"/>
          <w:lang w:val="es-MX"/>
        </w:rPr>
        <w:t xml:space="preserve">% con </w:t>
      </w:r>
      <w:r w:rsidR="001C2227">
        <w:rPr>
          <w:rFonts w:ascii="Verdana" w:hAnsi="Verdana"/>
          <w:lang w:val="es-MX"/>
        </w:rPr>
        <w:t>11</w:t>
      </w:r>
      <w:r w:rsidR="00E8363F">
        <w:rPr>
          <w:rFonts w:ascii="Verdana" w:hAnsi="Verdana"/>
          <w:lang w:val="es-MX"/>
        </w:rPr>
        <w:t>9</w:t>
      </w:r>
      <w:r>
        <w:rPr>
          <w:rFonts w:ascii="Verdana" w:hAnsi="Verdana"/>
          <w:lang w:val="es-MX"/>
        </w:rPr>
        <w:t xml:space="preserve"> consultas meno</w:t>
      </w:r>
      <w:r w:rsidRPr="00137BF6">
        <w:rPr>
          <w:rFonts w:ascii="Verdana" w:hAnsi="Verdana"/>
          <w:lang w:val="es-MX"/>
        </w:rPr>
        <w:t>s</w:t>
      </w:r>
      <w:r w:rsidR="001C2227">
        <w:rPr>
          <w:rFonts w:ascii="Verdana" w:hAnsi="Verdana"/>
          <w:lang w:val="es-MX"/>
        </w:rPr>
        <w:t>.</w:t>
      </w:r>
    </w:p>
    <w:p w:rsidR="00B94D1B" w:rsidRPr="00137BF6" w:rsidRDefault="00B94D1B" w:rsidP="00BA0F23">
      <w:pPr>
        <w:jc w:val="both"/>
        <w:rPr>
          <w:rFonts w:ascii="Verdana" w:hAnsi="Verdana"/>
          <w:lang w:val="es-MX"/>
        </w:rPr>
      </w:pPr>
    </w:p>
    <w:p w:rsidR="00BA0F23" w:rsidRDefault="00BA0F23" w:rsidP="00BA0F23">
      <w:pPr>
        <w:jc w:val="both"/>
        <w:rPr>
          <w:rFonts w:ascii="Verdana" w:hAnsi="Verdana"/>
          <w:lang w:val="es-MX"/>
        </w:rPr>
      </w:pPr>
    </w:p>
    <w:p w:rsidR="00BA0F23" w:rsidRPr="00F94884" w:rsidRDefault="00BA0F23" w:rsidP="001C2227">
      <w:pPr>
        <w:pStyle w:val="Prrafodelista"/>
        <w:numPr>
          <w:ilvl w:val="0"/>
          <w:numId w:val="29"/>
        </w:numPr>
        <w:rPr>
          <w:rFonts w:ascii="Verdana" w:hAnsi="Verdana"/>
          <w:b/>
          <w:lang w:val="es-MX"/>
        </w:rPr>
      </w:pPr>
      <w:r w:rsidRPr="00F94884">
        <w:rPr>
          <w:rFonts w:ascii="Verdana" w:hAnsi="Verdana"/>
          <w:b/>
          <w:lang w:val="es-MX"/>
        </w:rPr>
        <w:t xml:space="preserve">CONSULTAS AMBULATORIAS </w:t>
      </w:r>
      <w:r w:rsidR="00E8363F" w:rsidRPr="00F94884">
        <w:rPr>
          <w:rFonts w:ascii="Verdana" w:hAnsi="Verdana"/>
          <w:b/>
          <w:lang w:val="es-MX"/>
        </w:rPr>
        <w:t>SAPU EN MAYORES DE 15 AÑOS, 2016</w:t>
      </w:r>
      <w:r w:rsidRPr="00F94884">
        <w:rPr>
          <w:rFonts w:ascii="Verdana" w:hAnsi="Verdana"/>
          <w:b/>
          <w:lang w:val="es-MX"/>
        </w:rPr>
        <w:t>-2018.</w:t>
      </w:r>
    </w:p>
    <w:p w:rsidR="00BA0F23" w:rsidRDefault="00BA0F23" w:rsidP="00BA0F23">
      <w:pPr>
        <w:jc w:val="center"/>
        <w:rPr>
          <w:rFonts w:ascii="Verdana" w:hAnsi="Verdana"/>
          <w:b/>
          <w:u w:val="single"/>
          <w:lang w:val="es-MX"/>
        </w:rPr>
      </w:pPr>
    </w:p>
    <w:p w:rsidR="001C2227" w:rsidRDefault="001C2227" w:rsidP="00BA0F23">
      <w:pPr>
        <w:jc w:val="center"/>
        <w:rPr>
          <w:rFonts w:ascii="Verdana" w:hAnsi="Verdana"/>
          <w:b/>
          <w:u w:val="single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6CB79C34" wp14:editId="5432BB31">
            <wp:extent cx="5572125" cy="37814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2227" w:rsidRDefault="001C2227" w:rsidP="00BA0F23">
      <w:pPr>
        <w:jc w:val="center"/>
        <w:rPr>
          <w:rFonts w:ascii="Verdana" w:hAnsi="Verdana"/>
          <w:b/>
          <w:u w:val="single"/>
          <w:lang w:val="es-MX"/>
        </w:rPr>
      </w:pPr>
    </w:p>
    <w:p w:rsidR="00BA0F23" w:rsidRPr="00137BF6" w:rsidRDefault="00BA0F23" w:rsidP="00BA0F23">
      <w:pPr>
        <w:jc w:val="center"/>
        <w:rPr>
          <w:rFonts w:ascii="Verdana" w:hAnsi="Verdana"/>
          <w:b/>
          <w:u w:val="single"/>
          <w:lang w:val="es-MX"/>
        </w:rPr>
      </w:pPr>
    </w:p>
    <w:p w:rsidR="00BA0F23" w:rsidRDefault="00BA0F23" w:rsidP="00BA0F23">
      <w:pPr>
        <w:jc w:val="both"/>
        <w:rPr>
          <w:rFonts w:ascii="Verdana" w:hAnsi="Verdana"/>
          <w:lang w:val="es-MX"/>
        </w:rPr>
      </w:pPr>
      <w:r w:rsidRPr="00137BF6">
        <w:rPr>
          <w:rFonts w:ascii="Verdana" w:hAnsi="Verdana"/>
          <w:lang w:val="es-MX"/>
        </w:rPr>
        <w:t>En relación a las Consultas ambulatorias de mayores de 15 años registradas en SAPU, específicamente en SAPU San Felipe, se observa que</w:t>
      </w:r>
      <w:r w:rsidR="008C2765">
        <w:rPr>
          <w:rFonts w:ascii="Verdana" w:hAnsi="Verdana"/>
          <w:lang w:val="es-MX"/>
        </w:rPr>
        <w:t xml:space="preserve"> </w:t>
      </w:r>
      <w:r w:rsidR="008C2765" w:rsidRPr="00E12126">
        <w:rPr>
          <w:rFonts w:ascii="Verdana" w:hAnsi="Verdana"/>
          <w:lang w:val="es-MX"/>
        </w:rPr>
        <w:t>en</w:t>
      </w:r>
      <w:r w:rsidRPr="00137BF6">
        <w:rPr>
          <w:rFonts w:ascii="Verdana" w:hAnsi="Verdana"/>
          <w:lang w:val="es-MX"/>
        </w:rPr>
        <w:t xml:space="preserve"> la última semana éstas han presentado un</w:t>
      </w:r>
      <w:r w:rsidR="001C2227">
        <w:rPr>
          <w:rFonts w:ascii="Verdana" w:hAnsi="Verdana"/>
          <w:lang w:val="es-MX"/>
        </w:rPr>
        <w:t>a disminución de un 64</w:t>
      </w:r>
      <w:r w:rsidRPr="00137BF6">
        <w:rPr>
          <w:rFonts w:ascii="Verdana" w:hAnsi="Verdana"/>
          <w:lang w:val="es-MX"/>
        </w:rPr>
        <w:t xml:space="preserve">% en comparación con la semana epidemiológica anterior </w:t>
      </w:r>
      <w:r w:rsidR="001C2227">
        <w:rPr>
          <w:rFonts w:ascii="Verdana" w:hAnsi="Verdana"/>
          <w:lang w:val="es-MX"/>
        </w:rPr>
        <w:t>con 58</w:t>
      </w:r>
      <w:r>
        <w:rPr>
          <w:rFonts w:ascii="Verdana" w:hAnsi="Verdana"/>
          <w:lang w:val="es-MX"/>
        </w:rPr>
        <w:t xml:space="preserve"> </w:t>
      </w:r>
      <w:r w:rsidR="00E8363F">
        <w:rPr>
          <w:rFonts w:ascii="Verdana" w:hAnsi="Verdana"/>
          <w:lang w:val="es-MX"/>
        </w:rPr>
        <w:t>consultas meno</w:t>
      </w:r>
      <w:r w:rsidRPr="00137BF6">
        <w:rPr>
          <w:rFonts w:ascii="Verdana" w:hAnsi="Verdana"/>
          <w:lang w:val="es-MX"/>
        </w:rPr>
        <w:t>s</w:t>
      </w:r>
      <w:r w:rsidR="001C2227">
        <w:rPr>
          <w:rFonts w:ascii="Verdana" w:hAnsi="Verdana"/>
          <w:lang w:val="es-MX"/>
        </w:rPr>
        <w:t>, ubicándose en la zona de éxito</w:t>
      </w:r>
      <w:r>
        <w:rPr>
          <w:rFonts w:ascii="Verdana" w:hAnsi="Verdana"/>
          <w:lang w:val="es-MX"/>
        </w:rPr>
        <w:t>.</w:t>
      </w:r>
      <w:r w:rsidRPr="00137BF6">
        <w:rPr>
          <w:rFonts w:ascii="Verdana" w:hAnsi="Verdana"/>
          <w:lang w:val="es-MX"/>
        </w:rPr>
        <w:t xml:space="preserve"> Si lo comparamos con el año anterior presenta un</w:t>
      </w:r>
      <w:r>
        <w:rPr>
          <w:rFonts w:ascii="Verdana" w:hAnsi="Verdana"/>
          <w:lang w:val="es-MX"/>
        </w:rPr>
        <w:t xml:space="preserve">a disminución </w:t>
      </w:r>
      <w:r w:rsidRPr="00137BF6">
        <w:rPr>
          <w:rFonts w:ascii="Verdana" w:hAnsi="Verdana"/>
          <w:lang w:val="es-MX"/>
        </w:rPr>
        <w:t xml:space="preserve">de un </w:t>
      </w:r>
      <w:r w:rsidR="001C2227">
        <w:rPr>
          <w:rFonts w:ascii="Verdana" w:hAnsi="Verdana"/>
          <w:lang w:val="es-MX"/>
        </w:rPr>
        <w:t>78</w:t>
      </w:r>
      <w:r w:rsidRPr="00137BF6">
        <w:rPr>
          <w:rFonts w:ascii="Verdana" w:hAnsi="Verdana"/>
          <w:lang w:val="es-MX"/>
        </w:rPr>
        <w:t xml:space="preserve">% con </w:t>
      </w:r>
      <w:r w:rsidR="001C2227">
        <w:rPr>
          <w:rFonts w:ascii="Verdana" w:hAnsi="Verdana"/>
          <w:lang w:val="es-MX"/>
        </w:rPr>
        <w:t>118</w:t>
      </w:r>
      <w:r>
        <w:rPr>
          <w:rFonts w:ascii="Verdana" w:hAnsi="Verdana"/>
          <w:lang w:val="es-MX"/>
        </w:rPr>
        <w:t xml:space="preserve"> consultas meno</w:t>
      </w:r>
      <w:r w:rsidRPr="00137BF6">
        <w:rPr>
          <w:rFonts w:ascii="Verdana" w:hAnsi="Verdana"/>
          <w:lang w:val="es-MX"/>
        </w:rPr>
        <w:t>s.</w:t>
      </w:r>
    </w:p>
    <w:p w:rsidR="00F94884" w:rsidRDefault="001C2227" w:rsidP="008C2765">
      <w:pPr>
        <w:spacing w:after="200" w:line="276" w:lineRule="auto"/>
        <w:rPr>
          <w:rFonts w:ascii="Verdana" w:hAnsi="Verdana"/>
          <w:b/>
          <w:u w:val="single"/>
        </w:rPr>
      </w:pPr>
      <w:r>
        <w:rPr>
          <w:rFonts w:ascii="Verdana" w:hAnsi="Verdana"/>
          <w:lang w:val="es-MX"/>
        </w:rPr>
        <w:lastRenderedPageBreak/>
        <w:t xml:space="preserve"> </w:t>
      </w:r>
      <w:r w:rsidR="00F94884">
        <w:rPr>
          <w:rFonts w:ascii="Verdana" w:hAnsi="Verdana"/>
          <w:b/>
          <w:u w:val="single"/>
        </w:rPr>
        <w:t>ATENCIÓN HOSPITALARIA:</w:t>
      </w:r>
    </w:p>
    <w:p w:rsidR="00F94884" w:rsidRDefault="00F94884" w:rsidP="00F94884">
      <w:pPr>
        <w:pStyle w:val="Sangradetextonormal"/>
        <w:ind w:left="786" w:firstLine="0"/>
        <w:jc w:val="both"/>
        <w:rPr>
          <w:rFonts w:ascii="Verdana" w:hAnsi="Verdana"/>
          <w:b/>
          <w:sz w:val="20"/>
          <w:u w:val="single"/>
        </w:rPr>
      </w:pPr>
    </w:p>
    <w:p w:rsidR="00B5433F" w:rsidRDefault="00CD0012" w:rsidP="00BA0F23">
      <w:pPr>
        <w:pStyle w:val="Sangradetextonormal"/>
        <w:numPr>
          <w:ilvl w:val="0"/>
          <w:numId w:val="29"/>
        </w:numPr>
        <w:jc w:val="both"/>
        <w:rPr>
          <w:rFonts w:ascii="Verdana" w:hAnsi="Verdana"/>
          <w:b/>
          <w:sz w:val="20"/>
        </w:rPr>
      </w:pPr>
      <w:r w:rsidRPr="00F94884">
        <w:rPr>
          <w:rFonts w:ascii="Verdana" w:hAnsi="Verdana"/>
          <w:b/>
          <w:sz w:val="20"/>
        </w:rPr>
        <w:t xml:space="preserve">CONSULTAS UNIDAD DE EMERGENCIA HOSPITALARIA EN MENORES DE 15 AÑOS, </w:t>
      </w:r>
      <w:r w:rsidR="00141356" w:rsidRPr="00F94884">
        <w:rPr>
          <w:rFonts w:ascii="Verdana" w:hAnsi="Verdana"/>
          <w:b/>
          <w:sz w:val="20"/>
        </w:rPr>
        <w:t>2016</w:t>
      </w:r>
      <w:r w:rsidRPr="00F94884">
        <w:rPr>
          <w:rFonts w:ascii="Verdana" w:hAnsi="Verdana"/>
          <w:b/>
          <w:sz w:val="20"/>
        </w:rPr>
        <w:t>-2018.</w:t>
      </w:r>
    </w:p>
    <w:p w:rsidR="00E12126" w:rsidRPr="00F94884" w:rsidRDefault="00E12126" w:rsidP="00BA0F23">
      <w:pPr>
        <w:pStyle w:val="Sangradetextonormal"/>
        <w:numPr>
          <w:ilvl w:val="0"/>
          <w:numId w:val="29"/>
        </w:numPr>
        <w:jc w:val="both"/>
        <w:rPr>
          <w:rFonts w:ascii="Verdana" w:hAnsi="Verdana"/>
          <w:b/>
          <w:sz w:val="20"/>
        </w:rPr>
      </w:pPr>
    </w:p>
    <w:p w:rsidR="00B5433F" w:rsidRDefault="00E12126" w:rsidP="00B5433F">
      <w:pPr>
        <w:pStyle w:val="Sangradetextonormal"/>
        <w:ind w:firstLine="708"/>
        <w:jc w:val="both"/>
      </w:pPr>
      <w:r w:rsidRPr="00E12126">
        <w:rPr>
          <w:noProof/>
          <w:u w:val="single"/>
          <w:lang w:val="es-CL" w:eastAsia="es-CL"/>
        </w:rPr>
        <w:drawing>
          <wp:inline distT="0" distB="0" distL="0" distR="0" wp14:anchorId="6F91C5FF" wp14:editId="4665C152">
            <wp:extent cx="4981575" cy="3067050"/>
            <wp:effectExtent l="0" t="0" r="952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2C8C" w:rsidRDefault="00FD2C8C" w:rsidP="00FD2C8C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Fuente: DEIS MINSAL</w:t>
      </w:r>
    </w:p>
    <w:p w:rsidR="00D74FBA" w:rsidRPr="0001205A" w:rsidRDefault="00D74FBA" w:rsidP="00FD2C8C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</w:p>
    <w:p w:rsidR="006E3B30" w:rsidRDefault="006576C8" w:rsidP="00FD2C8C">
      <w:pPr>
        <w:tabs>
          <w:tab w:val="left" w:pos="1140"/>
        </w:tabs>
        <w:spacing w:after="200" w:line="276" w:lineRule="auto"/>
        <w:jc w:val="both"/>
        <w:rPr>
          <w:rFonts w:ascii="Verdana" w:hAnsi="Verdana"/>
        </w:rPr>
      </w:pPr>
      <w:r w:rsidRPr="0001205A">
        <w:rPr>
          <w:rFonts w:ascii="Verdana" w:hAnsi="Verdana"/>
        </w:rPr>
        <w:t>En relación a las consultas respiratorias</w:t>
      </w:r>
      <w:r w:rsidR="00A52400" w:rsidRPr="0001205A">
        <w:rPr>
          <w:rFonts w:ascii="Verdana" w:hAnsi="Verdana"/>
        </w:rPr>
        <w:t xml:space="preserve"> pediátricas</w:t>
      </w:r>
      <w:r w:rsidRPr="0001205A">
        <w:rPr>
          <w:rFonts w:ascii="Verdana" w:hAnsi="Verdana"/>
        </w:rPr>
        <w:t xml:space="preserve"> registradas en </w:t>
      </w:r>
      <w:r w:rsidR="003567D4" w:rsidRPr="0001205A">
        <w:rPr>
          <w:rFonts w:ascii="Verdana" w:hAnsi="Verdana"/>
        </w:rPr>
        <w:t>el Servicio</w:t>
      </w:r>
      <w:r w:rsidRPr="0001205A">
        <w:rPr>
          <w:rFonts w:ascii="Verdana" w:hAnsi="Verdana"/>
        </w:rPr>
        <w:t xml:space="preserve"> de Urgencia de</w:t>
      </w:r>
      <w:r w:rsidR="003567D4" w:rsidRPr="0001205A">
        <w:rPr>
          <w:rFonts w:ascii="Verdana" w:hAnsi="Verdana"/>
        </w:rPr>
        <w:t>l Hospital San Camilo podemos decir</w:t>
      </w:r>
      <w:r w:rsidRPr="0001205A">
        <w:rPr>
          <w:rFonts w:ascii="Verdana" w:hAnsi="Verdana"/>
        </w:rPr>
        <w:t xml:space="preserve"> que éstas han presentado</w:t>
      </w:r>
      <w:r w:rsidR="00742957" w:rsidRPr="0001205A">
        <w:rPr>
          <w:rFonts w:ascii="Verdana" w:hAnsi="Verdana"/>
        </w:rPr>
        <w:t xml:space="preserve"> </w:t>
      </w:r>
      <w:r w:rsidR="006A3B31" w:rsidRPr="0001205A">
        <w:rPr>
          <w:rFonts w:ascii="Verdana" w:hAnsi="Verdana"/>
        </w:rPr>
        <w:t>un</w:t>
      </w:r>
      <w:r w:rsidR="00EE40D4">
        <w:rPr>
          <w:rFonts w:ascii="Verdana" w:hAnsi="Verdana"/>
        </w:rPr>
        <w:t>a disminución</w:t>
      </w:r>
      <w:r w:rsidR="00172608">
        <w:rPr>
          <w:rFonts w:ascii="Verdana" w:hAnsi="Verdana"/>
        </w:rPr>
        <w:t xml:space="preserve"> de un 12</w:t>
      </w:r>
      <w:r w:rsidR="00EE40D4">
        <w:rPr>
          <w:rFonts w:ascii="Verdana" w:hAnsi="Verdana"/>
        </w:rPr>
        <w:t xml:space="preserve">% </w:t>
      </w:r>
      <w:r w:rsidR="00191804" w:rsidRPr="0001205A">
        <w:rPr>
          <w:rFonts w:ascii="Verdana" w:hAnsi="Verdana"/>
        </w:rPr>
        <w:t xml:space="preserve">en comparación con la semana </w:t>
      </w:r>
      <w:r w:rsidR="00B94193" w:rsidRPr="0001205A">
        <w:rPr>
          <w:rFonts w:ascii="Verdana" w:hAnsi="Verdana"/>
        </w:rPr>
        <w:t xml:space="preserve">epidemiológica </w:t>
      </w:r>
      <w:r w:rsidR="00191804" w:rsidRPr="0001205A">
        <w:rPr>
          <w:rFonts w:ascii="Verdana" w:hAnsi="Verdana"/>
        </w:rPr>
        <w:t xml:space="preserve">anterior </w:t>
      </w:r>
      <w:r w:rsidR="00D21C7B" w:rsidRPr="0001205A">
        <w:rPr>
          <w:rFonts w:ascii="Verdana" w:hAnsi="Verdana"/>
        </w:rPr>
        <w:t xml:space="preserve">con </w:t>
      </w:r>
      <w:r w:rsidR="00172608">
        <w:rPr>
          <w:rFonts w:ascii="Verdana" w:hAnsi="Verdana"/>
        </w:rPr>
        <w:t>12</w:t>
      </w:r>
      <w:r w:rsidR="00D74FBA" w:rsidRPr="0001205A">
        <w:rPr>
          <w:rFonts w:ascii="Verdana" w:hAnsi="Verdana"/>
        </w:rPr>
        <w:t xml:space="preserve"> consultas</w:t>
      </w:r>
      <w:r w:rsidR="004A1738" w:rsidRPr="0001205A">
        <w:rPr>
          <w:rFonts w:ascii="Verdana" w:hAnsi="Verdana"/>
        </w:rPr>
        <w:t xml:space="preserve"> m</w:t>
      </w:r>
      <w:r w:rsidR="00EE40D4">
        <w:rPr>
          <w:rFonts w:ascii="Verdana" w:hAnsi="Verdana"/>
        </w:rPr>
        <w:t>eno</w:t>
      </w:r>
      <w:r w:rsidR="00B94193" w:rsidRPr="0001205A">
        <w:rPr>
          <w:rFonts w:ascii="Verdana" w:hAnsi="Verdana"/>
        </w:rPr>
        <w:t>s</w:t>
      </w:r>
      <w:r w:rsidR="00D74FBA" w:rsidRPr="0001205A">
        <w:rPr>
          <w:rFonts w:ascii="Verdana" w:hAnsi="Verdana"/>
        </w:rPr>
        <w:t>,</w:t>
      </w:r>
      <w:r w:rsidRPr="0001205A">
        <w:rPr>
          <w:rFonts w:ascii="Verdana" w:hAnsi="Verdana"/>
        </w:rPr>
        <w:t xml:space="preserve"> </w:t>
      </w:r>
      <w:r w:rsidR="00172608">
        <w:rPr>
          <w:rFonts w:ascii="Verdana" w:hAnsi="Verdana"/>
        </w:rPr>
        <w:t xml:space="preserve">ubicándose en la zona de </w:t>
      </w:r>
      <w:r w:rsidR="00EE40D4">
        <w:rPr>
          <w:rFonts w:ascii="Verdana" w:hAnsi="Verdana"/>
        </w:rPr>
        <w:t>éxito</w:t>
      </w:r>
      <w:r w:rsidR="00E41CBC">
        <w:rPr>
          <w:rFonts w:ascii="Verdana" w:hAnsi="Verdana"/>
        </w:rPr>
        <w:t>.</w:t>
      </w:r>
      <w:r w:rsidR="00FD2C8C" w:rsidRPr="00913128">
        <w:rPr>
          <w:rFonts w:ascii="Verdana" w:hAnsi="Verdana"/>
          <w:b/>
        </w:rPr>
        <w:t xml:space="preserve"> </w:t>
      </w:r>
      <w:r w:rsidR="00E41CBC">
        <w:rPr>
          <w:rFonts w:ascii="Verdana" w:hAnsi="Verdana"/>
        </w:rPr>
        <w:t xml:space="preserve">Si lo comparamos con el año anterior </w:t>
      </w:r>
      <w:r w:rsidR="00CF05CD">
        <w:rPr>
          <w:rFonts w:ascii="Verdana" w:hAnsi="Verdana"/>
        </w:rPr>
        <w:t>p</w:t>
      </w:r>
      <w:r w:rsidR="00172608">
        <w:rPr>
          <w:rFonts w:ascii="Verdana" w:hAnsi="Verdana"/>
        </w:rPr>
        <w:t>resenta una disminución de un 65% con 160</w:t>
      </w:r>
      <w:r w:rsidR="00E41CBC">
        <w:rPr>
          <w:rFonts w:ascii="Verdana" w:hAnsi="Verdana"/>
        </w:rPr>
        <w:t xml:space="preserve"> consultas menos.</w:t>
      </w:r>
    </w:p>
    <w:p w:rsidR="002D7FD2" w:rsidRDefault="002D7FD2" w:rsidP="00FD2C8C">
      <w:pPr>
        <w:tabs>
          <w:tab w:val="left" w:pos="1140"/>
        </w:tabs>
        <w:spacing w:after="200" w:line="276" w:lineRule="auto"/>
        <w:jc w:val="both"/>
        <w:rPr>
          <w:rFonts w:ascii="Verdana" w:hAnsi="Verdana"/>
        </w:rPr>
      </w:pPr>
    </w:p>
    <w:p w:rsidR="005D3AA3" w:rsidRPr="00F94884" w:rsidRDefault="003F2988" w:rsidP="005E3F24">
      <w:pPr>
        <w:pStyle w:val="Sangradetextonormal"/>
        <w:numPr>
          <w:ilvl w:val="0"/>
          <w:numId w:val="29"/>
        </w:numPr>
        <w:jc w:val="both"/>
        <w:rPr>
          <w:rFonts w:ascii="Verdana" w:hAnsi="Verdana"/>
          <w:b/>
          <w:sz w:val="20"/>
        </w:rPr>
      </w:pPr>
      <w:r w:rsidRPr="00F94884">
        <w:rPr>
          <w:rFonts w:ascii="Verdana" w:hAnsi="Verdana"/>
          <w:b/>
          <w:sz w:val="20"/>
        </w:rPr>
        <w:t>CONSULTAS UNIDAD DE EMERGENCIA HOSPITAL</w:t>
      </w:r>
      <w:r w:rsidR="005E3F24" w:rsidRPr="00F94884">
        <w:rPr>
          <w:rFonts w:ascii="Verdana" w:hAnsi="Verdana"/>
          <w:b/>
          <w:sz w:val="20"/>
        </w:rPr>
        <w:t>ARIA EN MAYORES DE 15 AÑOS, 2016</w:t>
      </w:r>
      <w:r w:rsidRPr="00F94884">
        <w:rPr>
          <w:rFonts w:ascii="Verdana" w:hAnsi="Verdana"/>
          <w:b/>
          <w:sz w:val="20"/>
        </w:rPr>
        <w:t>-2018</w:t>
      </w:r>
      <w:r w:rsidR="00310AE0" w:rsidRPr="00F94884">
        <w:rPr>
          <w:rFonts w:ascii="Verdana" w:hAnsi="Verdana"/>
          <w:b/>
          <w:sz w:val="20"/>
        </w:rPr>
        <w:t>.</w:t>
      </w:r>
    </w:p>
    <w:p w:rsidR="00F06476" w:rsidRDefault="00F06476" w:rsidP="005D3AA3">
      <w:pPr>
        <w:pStyle w:val="Sangradetextonormal"/>
        <w:ind w:firstLine="0"/>
        <w:jc w:val="center"/>
        <w:rPr>
          <w:noProof/>
          <w:u w:val="single"/>
          <w:lang w:val="es-CL" w:eastAsia="es-CL"/>
        </w:rPr>
      </w:pPr>
    </w:p>
    <w:p w:rsidR="00E41CBC" w:rsidRPr="00172608" w:rsidRDefault="002D7FD2" w:rsidP="005D3AA3">
      <w:pPr>
        <w:pStyle w:val="Sangradetextonormal"/>
        <w:ind w:firstLine="0"/>
        <w:jc w:val="center"/>
        <w:rPr>
          <w:rFonts w:ascii="Verdana" w:hAnsi="Verdana"/>
          <w:b/>
          <w:sz w:val="20"/>
          <w:u w:val="single"/>
          <w:lang w:val="es-CL"/>
        </w:rPr>
      </w:pPr>
      <w:r w:rsidRPr="00F94884">
        <w:rPr>
          <w:noProof/>
          <w:u w:val="single"/>
          <w:lang w:val="es-CL" w:eastAsia="es-CL"/>
        </w:rPr>
        <w:drawing>
          <wp:inline distT="0" distB="0" distL="0" distR="0" wp14:anchorId="6400EF8B" wp14:editId="7FE2092C">
            <wp:extent cx="5010150" cy="303847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2C8C" w:rsidRPr="00EF2BB6" w:rsidRDefault="00FD2C8C" w:rsidP="00FD2C8C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Fuente: DEIS MINSAL</w:t>
      </w:r>
    </w:p>
    <w:p w:rsidR="00FD2C8C" w:rsidRPr="00304297" w:rsidRDefault="00FD2C8C" w:rsidP="005D3AA3">
      <w:pPr>
        <w:pStyle w:val="Sangradetextonormal"/>
        <w:ind w:firstLine="0"/>
        <w:jc w:val="center"/>
        <w:rPr>
          <w:rFonts w:ascii="Verdana" w:hAnsi="Verdana"/>
          <w:b/>
          <w:color w:val="FF0000"/>
          <w:sz w:val="20"/>
          <w:u w:val="single"/>
        </w:rPr>
      </w:pPr>
    </w:p>
    <w:p w:rsidR="00E41CBC" w:rsidRDefault="006576C8" w:rsidP="00E41CBC">
      <w:pPr>
        <w:tabs>
          <w:tab w:val="left" w:pos="1140"/>
        </w:tabs>
        <w:spacing w:after="200" w:line="276" w:lineRule="auto"/>
        <w:jc w:val="both"/>
        <w:rPr>
          <w:rFonts w:ascii="Verdana" w:hAnsi="Verdana"/>
        </w:rPr>
      </w:pPr>
      <w:r w:rsidRPr="00913128">
        <w:rPr>
          <w:rFonts w:ascii="Verdana" w:hAnsi="Verdana"/>
        </w:rPr>
        <w:t xml:space="preserve">En relación a las consultas respiratorias </w:t>
      </w:r>
      <w:r w:rsidR="00F06476" w:rsidRPr="00913128">
        <w:rPr>
          <w:rFonts w:ascii="Verdana" w:hAnsi="Verdana"/>
        </w:rPr>
        <w:t xml:space="preserve">de adultos </w:t>
      </w:r>
      <w:r w:rsidRPr="00913128">
        <w:rPr>
          <w:rFonts w:ascii="Verdana" w:hAnsi="Verdana"/>
        </w:rPr>
        <w:t xml:space="preserve">registradas en </w:t>
      </w:r>
      <w:r w:rsidR="003567D4" w:rsidRPr="00913128">
        <w:rPr>
          <w:rFonts w:ascii="Verdana" w:hAnsi="Verdana"/>
        </w:rPr>
        <w:t>el</w:t>
      </w:r>
      <w:r w:rsidRPr="00913128">
        <w:rPr>
          <w:rFonts w:ascii="Verdana" w:hAnsi="Verdana"/>
        </w:rPr>
        <w:t xml:space="preserve"> Servicio de Urgencia de</w:t>
      </w:r>
      <w:r w:rsidR="003567D4" w:rsidRPr="00913128">
        <w:rPr>
          <w:rFonts w:ascii="Verdana" w:hAnsi="Verdana"/>
        </w:rPr>
        <w:t>l Hospital San Camilo, podemos decir</w:t>
      </w:r>
      <w:r w:rsidRPr="00913128">
        <w:rPr>
          <w:rFonts w:ascii="Verdana" w:hAnsi="Verdana"/>
        </w:rPr>
        <w:t xml:space="preserve"> que éstas han presentado</w:t>
      </w:r>
      <w:r w:rsidR="00D21C7B" w:rsidRPr="00913128">
        <w:rPr>
          <w:rFonts w:ascii="Verdana" w:hAnsi="Verdana"/>
        </w:rPr>
        <w:t xml:space="preserve"> </w:t>
      </w:r>
      <w:r w:rsidR="00454F46" w:rsidRPr="00913128">
        <w:rPr>
          <w:rFonts w:ascii="Verdana" w:hAnsi="Verdana"/>
        </w:rPr>
        <w:t>un</w:t>
      </w:r>
      <w:r w:rsidR="002D7FD2">
        <w:rPr>
          <w:rFonts w:ascii="Verdana" w:hAnsi="Verdana"/>
        </w:rPr>
        <w:t>a disminución de 2</w:t>
      </w:r>
      <w:r w:rsidR="009B31D3">
        <w:rPr>
          <w:rFonts w:ascii="Verdana" w:hAnsi="Verdana"/>
        </w:rPr>
        <w:t xml:space="preserve">1% </w:t>
      </w:r>
      <w:r w:rsidR="00D21C7B" w:rsidRPr="00913128">
        <w:rPr>
          <w:rFonts w:ascii="Verdana" w:hAnsi="Verdana"/>
        </w:rPr>
        <w:t xml:space="preserve">de </w:t>
      </w:r>
      <w:r w:rsidR="00BE625E" w:rsidRPr="00913128">
        <w:rPr>
          <w:rFonts w:ascii="Verdana" w:hAnsi="Verdana"/>
        </w:rPr>
        <w:t xml:space="preserve">en la última semana en comparación con la semana </w:t>
      </w:r>
      <w:r w:rsidR="003567D4" w:rsidRPr="00913128">
        <w:rPr>
          <w:rFonts w:ascii="Verdana" w:hAnsi="Verdana"/>
        </w:rPr>
        <w:t>epidemio</w:t>
      </w:r>
      <w:r w:rsidR="00B94193" w:rsidRPr="00913128">
        <w:rPr>
          <w:rFonts w:ascii="Verdana" w:hAnsi="Verdana"/>
        </w:rPr>
        <w:t>lógica</w:t>
      </w:r>
      <w:r w:rsidR="00F26BD3" w:rsidRPr="00913128">
        <w:rPr>
          <w:rFonts w:ascii="Verdana" w:hAnsi="Verdana"/>
        </w:rPr>
        <w:t xml:space="preserve"> </w:t>
      </w:r>
      <w:r w:rsidR="00BE625E" w:rsidRPr="00913128">
        <w:rPr>
          <w:rFonts w:ascii="Verdana" w:hAnsi="Verdana"/>
        </w:rPr>
        <w:t xml:space="preserve">anterior </w:t>
      </w:r>
      <w:r w:rsidR="00651FE1" w:rsidRPr="00913128">
        <w:rPr>
          <w:rFonts w:ascii="Verdana" w:hAnsi="Verdana"/>
        </w:rPr>
        <w:t>con</w:t>
      </w:r>
      <w:r w:rsidR="009D2620" w:rsidRPr="00913128">
        <w:rPr>
          <w:rFonts w:ascii="Verdana" w:hAnsi="Verdana"/>
        </w:rPr>
        <w:t xml:space="preserve"> </w:t>
      </w:r>
      <w:r w:rsidR="002D7FD2">
        <w:rPr>
          <w:rFonts w:ascii="Verdana" w:hAnsi="Verdana"/>
        </w:rPr>
        <w:t>14</w:t>
      </w:r>
      <w:r w:rsidR="009B31D3">
        <w:rPr>
          <w:rFonts w:ascii="Verdana" w:hAnsi="Verdana"/>
        </w:rPr>
        <w:t xml:space="preserve"> </w:t>
      </w:r>
      <w:r w:rsidR="009D2620" w:rsidRPr="00913128">
        <w:rPr>
          <w:rFonts w:ascii="Verdana" w:hAnsi="Verdana"/>
        </w:rPr>
        <w:t>consultas</w:t>
      </w:r>
      <w:r w:rsidR="002D7FD2">
        <w:rPr>
          <w:rFonts w:ascii="Verdana" w:hAnsi="Verdana"/>
        </w:rPr>
        <w:t xml:space="preserve"> meno</w:t>
      </w:r>
      <w:r w:rsidR="0004677C" w:rsidRPr="00913128">
        <w:rPr>
          <w:rFonts w:ascii="Verdana" w:hAnsi="Verdana"/>
        </w:rPr>
        <w:t>s</w:t>
      </w:r>
      <w:r w:rsidR="00B94193" w:rsidRPr="00913128">
        <w:rPr>
          <w:rFonts w:ascii="Verdana" w:hAnsi="Verdana"/>
        </w:rPr>
        <w:t>,</w:t>
      </w:r>
      <w:r w:rsidR="009D2620" w:rsidRPr="00913128">
        <w:rPr>
          <w:rFonts w:ascii="Verdana" w:hAnsi="Verdana"/>
        </w:rPr>
        <w:t xml:space="preserve"> </w:t>
      </w:r>
      <w:r w:rsidR="007F5C8F" w:rsidRPr="00913128">
        <w:rPr>
          <w:rFonts w:ascii="Verdana" w:hAnsi="Verdana"/>
        </w:rPr>
        <w:t>encontrándose actualmente</w:t>
      </w:r>
      <w:r w:rsidR="009B31D3">
        <w:rPr>
          <w:rFonts w:ascii="Verdana" w:hAnsi="Verdana"/>
        </w:rPr>
        <w:t xml:space="preserve"> en </w:t>
      </w:r>
      <w:r w:rsidR="00B94193" w:rsidRPr="00913128">
        <w:rPr>
          <w:rFonts w:ascii="Verdana" w:hAnsi="Verdana"/>
        </w:rPr>
        <w:t xml:space="preserve">zona de </w:t>
      </w:r>
      <w:r w:rsidR="00644F53">
        <w:rPr>
          <w:rFonts w:ascii="Verdana" w:hAnsi="Verdana"/>
        </w:rPr>
        <w:t>éxito</w:t>
      </w:r>
      <w:r w:rsidR="00651FE1" w:rsidRPr="00913128">
        <w:rPr>
          <w:rFonts w:ascii="Verdana" w:hAnsi="Verdana"/>
        </w:rPr>
        <w:t>.</w:t>
      </w:r>
      <w:r w:rsidR="00E41CBC" w:rsidRPr="00E41CBC">
        <w:rPr>
          <w:rFonts w:ascii="Verdana" w:hAnsi="Verdana"/>
        </w:rPr>
        <w:t xml:space="preserve"> </w:t>
      </w:r>
      <w:r w:rsidR="00E41CBC">
        <w:rPr>
          <w:rFonts w:ascii="Verdana" w:hAnsi="Verdana"/>
        </w:rPr>
        <w:t xml:space="preserve">Si lo comparamos con el año anterior </w:t>
      </w:r>
      <w:r w:rsidR="009B31D3">
        <w:rPr>
          <w:rFonts w:ascii="Verdana" w:hAnsi="Verdana"/>
        </w:rPr>
        <w:t>p</w:t>
      </w:r>
      <w:r w:rsidR="00644F53">
        <w:rPr>
          <w:rFonts w:ascii="Verdana" w:hAnsi="Verdana"/>
        </w:rPr>
        <w:t>resenta una disminución de un 68% con 116</w:t>
      </w:r>
      <w:r w:rsidR="00E41CBC">
        <w:rPr>
          <w:rFonts w:ascii="Verdana" w:hAnsi="Verdana"/>
        </w:rPr>
        <w:t xml:space="preserve"> consultas menos.</w:t>
      </w:r>
    </w:p>
    <w:p w:rsidR="00366007" w:rsidRPr="00F94884" w:rsidRDefault="000E436F" w:rsidP="003F2988">
      <w:pPr>
        <w:pStyle w:val="Sangradetextonormal"/>
        <w:numPr>
          <w:ilvl w:val="0"/>
          <w:numId w:val="29"/>
        </w:numPr>
        <w:rPr>
          <w:rFonts w:ascii="Verdana" w:hAnsi="Verdana"/>
          <w:b/>
          <w:color w:val="000000" w:themeColor="text1"/>
          <w:sz w:val="20"/>
        </w:rPr>
      </w:pPr>
      <w:r w:rsidRPr="00F94884">
        <w:rPr>
          <w:rFonts w:ascii="Verdana" w:hAnsi="Verdana"/>
          <w:b/>
          <w:color w:val="000000" w:themeColor="text1"/>
          <w:sz w:val="20"/>
        </w:rPr>
        <w:lastRenderedPageBreak/>
        <w:t>HOSPITALIZACIONES MENORES DE 15 AÑOS, 2016</w:t>
      </w:r>
      <w:r w:rsidR="003F2988" w:rsidRPr="00F94884">
        <w:rPr>
          <w:rFonts w:ascii="Verdana" w:hAnsi="Verdana"/>
          <w:b/>
          <w:color w:val="000000" w:themeColor="text1"/>
          <w:sz w:val="20"/>
        </w:rPr>
        <w:t>-2018.</w:t>
      </w:r>
    </w:p>
    <w:p w:rsidR="00366007" w:rsidRPr="000E436F" w:rsidRDefault="00366007" w:rsidP="00366007">
      <w:pPr>
        <w:pStyle w:val="Sangradetextonormal"/>
        <w:ind w:firstLine="0"/>
        <w:jc w:val="center"/>
        <w:rPr>
          <w:rFonts w:ascii="Verdana" w:hAnsi="Verdana"/>
          <w:b/>
          <w:color w:val="FF0000"/>
          <w:sz w:val="20"/>
          <w:u w:val="single"/>
        </w:rPr>
      </w:pPr>
    </w:p>
    <w:p w:rsidR="000E436F" w:rsidRDefault="000E436F" w:rsidP="000E436F">
      <w:pPr>
        <w:pStyle w:val="Sangradetextonormal"/>
        <w:ind w:firstLine="0"/>
        <w:jc w:val="center"/>
        <w:rPr>
          <w:rFonts w:asciiTheme="minorHAnsi" w:hAnsiTheme="minorHAnsi"/>
          <w:color w:val="FF0000"/>
          <w:sz w:val="16"/>
          <w:szCs w:val="16"/>
        </w:rPr>
      </w:pPr>
      <w:r>
        <w:rPr>
          <w:noProof/>
          <w:lang w:val="es-CL" w:eastAsia="es-CL"/>
        </w:rPr>
        <w:drawing>
          <wp:inline distT="0" distB="0" distL="0" distR="0" wp14:anchorId="5B5CAE1C" wp14:editId="76858D9D">
            <wp:extent cx="5153025" cy="3209925"/>
            <wp:effectExtent l="0" t="0" r="9525" b="952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3B32" w:rsidRPr="000E436F" w:rsidRDefault="009F3B32" w:rsidP="009F3B32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 w:rsidRPr="000E436F">
        <w:rPr>
          <w:rFonts w:asciiTheme="minorHAnsi" w:hAnsiTheme="minorHAnsi"/>
          <w:sz w:val="16"/>
          <w:szCs w:val="16"/>
        </w:rPr>
        <w:t xml:space="preserve">Fuente: </w:t>
      </w:r>
      <w:r w:rsidR="000E436F" w:rsidRPr="000E436F">
        <w:rPr>
          <w:rFonts w:asciiTheme="minorHAnsi" w:hAnsiTheme="minorHAnsi"/>
          <w:sz w:val="16"/>
          <w:szCs w:val="16"/>
        </w:rPr>
        <w:t>DEIS/MINSAL</w:t>
      </w:r>
    </w:p>
    <w:p w:rsidR="00504981" w:rsidRPr="000E436F" w:rsidRDefault="00504981" w:rsidP="009F3B32">
      <w:pPr>
        <w:pStyle w:val="Sangradetextonormal"/>
        <w:ind w:firstLine="0"/>
        <w:jc w:val="right"/>
        <w:rPr>
          <w:rFonts w:asciiTheme="minorHAnsi" w:hAnsiTheme="minorHAnsi"/>
          <w:color w:val="FF0000"/>
          <w:sz w:val="16"/>
          <w:szCs w:val="16"/>
        </w:rPr>
      </w:pPr>
    </w:p>
    <w:p w:rsidR="00457298" w:rsidRPr="000E436F" w:rsidRDefault="00504981" w:rsidP="00457298">
      <w:pPr>
        <w:tabs>
          <w:tab w:val="left" w:pos="1140"/>
        </w:tabs>
        <w:spacing w:after="200" w:line="276" w:lineRule="auto"/>
        <w:jc w:val="both"/>
        <w:rPr>
          <w:rFonts w:ascii="Verdana" w:hAnsi="Verdana"/>
          <w:b/>
        </w:rPr>
      </w:pPr>
      <w:r w:rsidRPr="000E436F">
        <w:rPr>
          <w:rFonts w:ascii="Verdana" w:hAnsi="Verdana"/>
        </w:rPr>
        <w:t>En relación a las Hospitaliza</w:t>
      </w:r>
      <w:r w:rsidR="000E436F" w:rsidRPr="000E436F">
        <w:rPr>
          <w:rFonts w:ascii="Verdana" w:hAnsi="Verdana"/>
        </w:rPr>
        <w:t xml:space="preserve">ciones </w:t>
      </w:r>
      <w:r w:rsidR="008C2765" w:rsidRPr="00E12126">
        <w:rPr>
          <w:rFonts w:ascii="Verdana" w:hAnsi="Verdana"/>
        </w:rPr>
        <w:t xml:space="preserve">en menores de 15 años </w:t>
      </w:r>
      <w:r w:rsidR="000E436F" w:rsidRPr="000E436F">
        <w:rPr>
          <w:rFonts w:ascii="Verdana" w:hAnsi="Verdana"/>
        </w:rPr>
        <w:t xml:space="preserve">por causa respiratoria ingresadas desde el servicio de urgencia hospitalaria </w:t>
      </w:r>
      <w:r w:rsidR="00D31B16" w:rsidRPr="000E436F">
        <w:rPr>
          <w:rFonts w:ascii="Verdana" w:hAnsi="Verdana"/>
        </w:rPr>
        <w:t>éstas han</w:t>
      </w:r>
      <w:r w:rsidR="0004677C" w:rsidRPr="000E436F">
        <w:rPr>
          <w:rFonts w:ascii="Verdana" w:hAnsi="Verdana"/>
        </w:rPr>
        <w:t xml:space="preserve"> presentado </w:t>
      </w:r>
      <w:r w:rsidR="001219F8">
        <w:rPr>
          <w:rFonts w:ascii="Verdana" w:hAnsi="Verdana"/>
        </w:rPr>
        <w:t>un aumento de un 11</w:t>
      </w:r>
      <w:r w:rsidR="000E436F" w:rsidRPr="000E436F">
        <w:rPr>
          <w:rFonts w:ascii="Verdana" w:hAnsi="Verdana"/>
        </w:rPr>
        <w:t xml:space="preserve">% </w:t>
      </w:r>
      <w:r w:rsidR="00434D2C" w:rsidRPr="000E436F">
        <w:rPr>
          <w:rFonts w:ascii="Verdana" w:hAnsi="Verdana"/>
        </w:rPr>
        <w:t xml:space="preserve">en comparación con la semana anterior </w:t>
      </w:r>
      <w:r w:rsidR="00055CCD" w:rsidRPr="000E436F">
        <w:rPr>
          <w:rFonts w:ascii="Verdana" w:hAnsi="Verdana"/>
        </w:rPr>
        <w:t xml:space="preserve">con </w:t>
      </w:r>
      <w:r w:rsidR="001219F8">
        <w:rPr>
          <w:rFonts w:ascii="Verdana" w:hAnsi="Verdana"/>
        </w:rPr>
        <w:t>1 hospitalizaciones má</w:t>
      </w:r>
      <w:r w:rsidR="0004677C" w:rsidRPr="000E436F">
        <w:rPr>
          <w:rFonts w:ascii="Verdana" w:hAnsi="Verdana"/>
        </w:rPr>
        <w:t>s</w:t>
      </w:r>
      <w:r w:rsidR="00055CCD" w:rsidRPr="000E436F">
        <w:rPr>
          <w:rFonts w:ascii="Verdana" w:hAnsi="Verdana"/>
        </w:rPr>
        <w:t xml:space="preserve">, </w:t>
      </w:r>
      <w:r w:rsidRPr="000E436F">
        <w:rPr>
          <w:rFonts w:ascii="Verdana" w:hAnsi="Verdana"/>
        </w:rPr>
        <w:t>encontrá</w:t>
      </w:r>
      <w:r w:rsidR="007913CD" w:rsidRPr="000E436F">
        <w:rPr>
          <w:rFonts w:ascii="Verdana" w:hAnsi="Verdana"/>
        </w:rPr>
        <w:t xml:space="preserve">ndose actualmente </w:t>
      </w:r>
      <w:r w:rsidR="0004677C" w:rsidRPr="000E436F">
        <w:rPr>
          <w:rFonts w:ascii="Verdana" w:hAnsi="Verdana"/>
        </w:rPr>
        <w:t xml:space="preserve">sobre </w:t>
      </w:r>
      <w:r w:rsidR="007913CD" w:rsidRPr="000E436F">
        <w:rPr>
          <w:rFonts w:ascii="Verdana" w:hAnsi="Verdana"/>
        </w:rPr>
        <w:t xml:space="preserve">la zona </w:t>
      </w:r>
      <w:r w:rsidR="00B94193" w:rsidRPr="000E436F">
        <w:rPr>
          <w:rFonts w:ascii="Verdana" w:hAnsi="Verdana"/>
        </w:rPr>
        <w:t>de alerta</w:t>
      </w:r>
      <w:r w:rsidRPr="000E436F">
        <w:rPr>
          <w:rFonts w:ascii="Verdana" w:hAnsi="Verdana"/>
        </w:rPr>
        <w:t>.</w:t>
      </w:r>
      <w:r w:rsidR="00457298" w:rsidRPr="000E436F">
        <w:rPr>
          <w:rFonts w:ascii="Verdana" w:hAnsi="Verdana"/>
        </w:rPr>
        <w:t xml:space="preserve"> Si lo comparamos con el año anterior </w:t>
      </w:r>
      <w:r w:rsidR="001219F8">
        <w:rPr>
          <w:rFonts w:ascii="Verdana" w:hAnsi="Verdana"/>
        </w:rPr>
        <w:t>presenta un aumento</w:t>
      </w:r>
      <w:r w:rsidR="000E436F" w:rsidRPr="008C2765">
        <w:rPr>
          <w:rFonts w:ascii="Verdana" w:hAnsi="Verdana"/>
          <w:color w:val="FF0000"/>
        </w:rPr>
        <w:t xml:space="preserve"> </w:t>
      </w:r>
      <w:r w:rsidR="001219F8">
        <w:rPr>
          <w:rFonts w:ascii="Verdana" w:hAnsi="Verdana"/>
        </w:rPr>
        <w:t>de un 25% con 2 consultas má</w:t>
      </w:r>
      <w:r w:rsidR="00457298" w:rsidRPr="000E436F">
        <w:rPr>
          <w:rFonts w:ascii="Verdana" w:hAnsi="Verdana"/>
        </w:rPr>
        <w:t>s.</w:t>
      </w:r>
    </w:p>
    <w:p w:rsidR="00BF08B2" w:rsidRPr="000E436F" w:rsidRDefault="00BF08B2" w:rsidP="003746B5">
      <w:pPr>
        <w:rPr>
          <w:rFonts w:ascii="Verdana" w:hAnsi="Verdana"/>
          <w:b/>
          <w:color w:val="FF0000"/>
        </w:rPr>
      </w:pPr>
    </w:p>
    <w:p w:rsidR="000E436F" w:rsidRPr="00F94884" w:rsidRDefault="003F2988" w:rsidP="000E436F">
      <w:pPr>
        <w:pStyle w:val="Sangradetextonormal"/>
        <w:numPr>
          <w:ilvl w:val="0"/>
          <w:numId w:val="29"/>
        </w:numPr>
        <w:rPr>
          <w:rFonts w:ascii="Verdana" w:hAnsi="Verdana"/>
          <w:b/>
          <w:color w:val="000000" w:themeColor="text1"/>
          <w:sz w:val="20"/>
        </w:rPr>
      </w:pPr>
      <w:r w:rsidRPr="00F94884">
        <w:rPr>
          <w:rFonts w:ascii="Verdana" w:hAnsi="Verdana"/>
          <w:b/>
          <w:color w:val="000000" w:themeColor="text1"/>
          <w:sz w:val="20"/>
        </w:rPr>
        <w:t xml:space="preserve">HOSPITALIZACIONES </w:t>
      </w:r>
      <w:r w:rsidR="000E436F" w:rsidRPr="00F94884">
        <w:rPr>
          <w:rFonts w:ascii="Verdana" w:hAnsi="Verdana"/>
          <w:b/>
          <w:color w:val="000000" w:themeColor="text1"/>
          <w:sz w:val="20"/>
        </w:rPr>
        <w:t>MAYORES DE 15 AÑOS, 2016-2018.</w:t>
      </w:r>
    </w:p>
    <w:p w:rsidR="009F3B32" w:rsidRDefault="009F3B32" w:rsidP="00205875">
      <w:pPr>
        <w:pStyle w:val="Sangradetextonormal"/>
        <w:ind w:firstLine="0"/>
        <w:jc w:val="center"/>
        <w:rPr>
          <w:rFonts w:ascii="Verdana" w:hAnsi="Verdana"/>
          <w:b/>
          <w:color w:val="FF0000"/>
          <w:sz w:val="20"/>
          <w:u w:val="single"/>
        </w:rPr>
      </w:pPr>
    </w:p>
    <w:p w:rsidR="000E436F" w:rsidRPr="000E436F" w:rsidRDefault="000E436F" w:rsidP="00205875">
      <w:pPr>
        <w:pStyle w:val="Sangradetextonormal"/>
        <w:ind w:firstLine="0"/>
        <w:jc w:val="center"/>
        <w:rPr>
          <w:rFonts w:ascii="Verdana" w:hAnsi="Verdana"/>
          <w:b/>
          <w:color w:val="FF0000"/>
          <w:sz w:val="20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7706F3CC" wp14:editId="50C2EE6F">
            <wp:extent cx="5267325" cy="3724275"/>
            <wp:effectExtent l="0" t="0" r="9525" b="952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6821" w:rsidRPr="000E436F" w:rsidRDefault="00136821" w:rsidP="00136821">
      <w:pPr>
        <w:pStyle w:val="Sangradetextonormal"/>
        <w:ind w:firstLine="0"/>
        <w:jc w:val="right"/>
        <w:rPr>
          <w:rFonts w:asciiTheme="minorHAnsi" w:hAnsiTheme="minorHAnsi"/>
          <w:sz w:val="16"/>
          <w:szCs w:val="16"/>
        </w:rPr>
      </w:pPr>
      <w:r w:rsidRPr="000E436F">
        <w:rPr>
          <w:rFonts w:asciiTheme="minorHAnsi" w:hAnsiTheme="minorHAnsi"/>
          <w:sz w:val="16"/>
          <w:szCs w:val="16"/>
        </w:rPr>
        <w:t>Fuente: DEIS/MINSAL</w:t>
      </w:r>
    </w:p>
    <w:p w:rsidR="00136821" w:rsidRDefault="00136821" w:rsidP="00136821">
      <w:pPr>
        <w:tabs>
          <w:tab w:val="left" w:pos="1140"/>
        </w:tabs>
        <w:spacing w:after="200" w:line="276" w:lineRule="auto"/>
        <w:jc w:val="both"/>
        <w:rPr>
          <w:rFonts w:asciiTheme="minorHAnsi" w:hAnsiTheme="minorHAnsi"/>
          <w:color w:val="FF0000"/>
          <w:sz w:val="16"/>
          <w:szCs w:val="16"/>
        </w:rPr>
      </w:pPr>
    </w:p>
    <w:p w:rsidR="00136821" w:rsidRPr="000E436F" w:rsidRDefault="00136821" w:rsidP="00136821">
      <w:pPr>
        <w:tabs>
          <w:tab w:val="left" w:pos="1140"/>
        </w:tabs>
        <w:spacing w:after="200" w:line="276" w:lineRule="auto"/>
        <w:jc w:val="both"/>
        <w:rPr>
          <w:rFonts w:ascii="Verdana" w:hAnsi="Verdana"/>
          <w:b/>
        </w:rPr>
      </w:pPr>
      <w:r w:rsidRPr="000E436F">
        <w:rPr>
          <w:rFonts w:ascii="Verdana" w:hAnsi="Verdana"/>
        </w:rPr>
        <w:t xml:space="preserve">En relación a las Hospitalizaciones por causa respiratoria ingresadas desde el servicio de urgencia hospitalaria </w:t>
      </w:r>
      <w:r>
        <w:rPr>
          <w:rFonts w:ascii="Verdana" w:hAnsi="Verdana"/>
        </w:rPr>
        <w:t xml:space="preserve">en mayores de 15 años </w:t>
      </w:r>
      <w:r w:rsidRPr="000E436F">
        <w:rPr>
          <w:rFonts w:ascii="Verdana" w:hAnsi="Verdana"/>
        </w:rPr>
        <w:t xml:space="preserve">éstas han presentado </w:t>
      </w:r>
      <w:r>
        <w:rPr>
          <w:rFonts w:ascii="Verdana" w:hAnsi="Verdana"/>
        </w:rPr>
        <w:t>una disminución de un 38</w:t>
      </w:r>
      <w:r w:rsidRPr="000E436F">
        <w:rPr>
          <w:rFonts w:ascii="Verdana" w:hAnsi="Verdana"/>
        </w:rPr>
        <w:t xml:space="preserve">% en comparación con la semana anterior con </w:t>
      </w:r>
      <w:r>
        <w:rPr>
          <w:rFonts w:ascii="Verdana" w:hAnsi="Verdana"/>
        </w:rPr>
        <w:t>6</w:t>
      </w:r>
      <w:r w:rsidRPr="000E436F">
        <w:rPr>
          <w:rFonts w:ascii="Verdana" w:hAnsi="Verdana"/>
        </w:rPr>
        <w:t xml:space="preserve"> hospitalizaciones menos, encontrándose actualmente </w:t>
      </w:r>
      <w:r>
        <w:rPr>
          <w:rFonts w:ascii="Verdana" w:hAnsi="Verdana"/>
        </w:rPr>
        <w:t>en</w:t>
      </w:r>
      <w:r w:rsidRPr="000E436F">
        <w:rPr>
          <w:rFonts w:ascii="Verdana" w:hAnsi="Verdana"/>
        </w:rPr>
        <w:t xml:space="preserve"> la zona de alerta. Si lo comparamos con el año anterior p</w:t>
      </w:r>
      <w:r>
        <w:rPr>
          <w:rFonts w:ascii="Verdana" w:hAnsi="Verdana"/>
        </w:rPr>
        <w:t>resenta una disminución de un 44% con 8</w:t>
      </w:r>
      <w:r w:rsidRPr="000E436F">
        <w:rPr>
          <w:rFonts w:ascii="Verdana" w:hAnsi="Verdana"/>
        </w:rPr>
        <w:t xml:space="preserve"> consultas menos.</w:t>
      </w:r>
    </w:p>
    <w:p w:rsidR="00457298" w:rsidRDefault="00457298" w:rsidP="00457298">
      <w:pPr>
        <w:tabs>
          <w:tab w:val="left" w:pos="1140"/>
        </w:tabs>
        <w:spacing w:after="200" w:line="276" w:lineRule="auto"/>
        <w:jc w:val="both"/>
        <w:rPr>
          <w:rFonts w:ascii="Verdana" w:hAnsi="Verdana"/>
        </w:rPr>
      </w:pPr>
    </w:p>
    <w:p w:rsidR="00B331DB" w:rsidRPr="00F94884" w:rsidRDefault="003F2988" w:rsidP="008B4C77">
      <w:pPr>
        <w:pStyle w:val="Textoindependiente"/>
        <w:numPr>
          <w:ilvl w:val="0"/>
          <w:numId w:val="29"/>
        </w:numPr>
        <w:jc w:val="left"/>
        <w:rPr>
          <w:color w:val="000000" w:themeColor="text1"/>
          <w:u w:val="none"/>
        </w:rPr>
      </w:pPr>
      <w:r w:rsidRPr="00F94884">
        <w:rPr>
          <w:color w:val="000000" w:themeColor="text1"/>
          <w:u w:val="none"/>
          <w:lang w:val="pt-BR"/>
        </w:rPr>
        <w:t xml:space="preserve">VIGILANCIA </w:t>
      </w:r>
      <w:r w:rsidRPr="00F94884">
        <w:rPr>
          <w:color w:val="000000" w:themeColor="text1"/>
          <w:u w:val="none"/>
        </w:rPr>
        <w:t>CENTINELA LABORATORIO CLÍNICO HOSPITAL SAN CAMILO, SAN FELIPE, POR SEMANA EPIDEMIOLÓGICA AÑO 2018</w:t>
      </w:r>
    </w:p>
    <w:p w:rsidR="001B596A" w:rsidRPr="00457298" w:rsidRDefault="001B596A" w:rsidP="00B331DB">
      <w:pPr>
        <w:pStyle w:val="Textoindependiente"/>
        <w:rPr>
          <w:color w:val="FF0000"/>
        </w:rPr>
      </w:pPr>
    </w:p>
    <w:p w:rsidR="00B331DB" w:rsidRPr="00457298" w:rsidRDefault="00B06E50" w:rsidP="00304297">
      <w:pPr>
        <w:spacing w:after="200" w:line="276" w:lineRule="auto"/>
        <w:jc w:val="center"/>
        <w:rPr>
          <w:rFonts w:ascii="Verdana" w:hAnsi="Verdana"/>
          <w:color w:val="FF0000"/>
          <w:lang w:val="es-MX"/>
        </w:rPr>
      </w:pPr>
      <w:r>
        <w:rPr>
          <w:noProof/>
          <w:lang w:val="es-CL" w:eastAsia="es-CL"/>
        </w:rPr>
        <w:drawing>
          <wp:inline distT="0" distB="0" distL="0" distR="0" wp14:anchorId="6C0F4999" wp14:editId="60F2C14E">
            <wp:extent cx="4752975" cy="2886075"/>
            <wp:effectExtent l="0" t="0" r="9525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72806" w:rsidRPr="00BA0F23" w:rsidRDefault="00472806" w:rsidP="00472806">
      <w:pPr>
        <w:spacing w:after="200" w:line="276" w:lineRule="auto"/>
        <w:jc w:val="right"/>
        <w:rPr>
          <w:rFonts w:ascii="Verdana" w:hAnsi="Verdana"/>
          <w:color w:val="000000" w:themeColor="text1"/>
          <w:lang w:val="es-MX"/>
        </w:rPr>
      </w:pPr>
      <w:r w:rsidRPr="00BA0F23">
        <w:rPr>
          <w:rFonts w:ascii="Verdana" w:hAnsi="Verdana"/>
          <w:color w:val="000000" w:themeColor="text1"/>
          <w:lang w:val="es-MX"/>
        </w:rPr>
        <w:t>Fuente: Filemaker</w:t>
      </w:r>
    </w:p>
    <w:p w:rsidR="00B331DB" w:rsidRDefault="00304297" w:rsidP="00472806">
      <w:pPr>
        <w:spacing w:after="200" w:line="276" w:lineRule="auto"/>
        <w:jc w:val="both"/>
        <w:rPr>
          <w:rFonts w:ascii="Verdana" w:hAnsi="Verdana"/>
          <w:lang w:val="es-MX"/>
        </w:rPr>
      </w:pPr>
      <w:r w:rsidRPr="00457298">
        <w:rPr>
          <w:rFonts w:ascii="Verdana" w:hAnsi="Verdana"/>
          <w:lang w:val="es-MX"/>
        </w:rPr>
        <w:t>E</w:t>
      </w:r>
      <w:r w:rsidR="004D7CD3">
        <w:rPr>
          <w:rFonts w:ascii="Verdana" w:hAnsi="Verdana"/>
          <w:lang w:val="es-MX"/>
        </w:rPr>
        <w:t xml:space="preserve">n la semana </w:t>
      </w:r>
      <w:r w:rsidR="00B06E50">
        <w:rPr>
          <w:rFonts w:ascii="Verdana" w:hAnsi="Verdana"/>
          <w:lang w:val="es-MX"/>
        </w:rPr>
        <w:t xml:space="preserve">Epidemiológica Nº 22 se detectaron 4 casos </w:t>
      </w:r>
      <w:r w:rsidR="00E559D4">
        <w:rPr>
          <w:rFonts w:ascii="Verdana" w:hAnsi="Verdana"/>
          <w:lang w:val="es-MX"/>
        </w:rPr>
        <w:t xml:space="preserve">positivos de </w:t>
      </w:r>
      <w:r w:rsidR="00457298" w:rsidRPr="00457298">
        <w:rPr>
          <w:rFonts w:ascii="Verdana" w:hAnsi="Verdana"/>
          <w:lang w:val="es-MX"/>
        </w:rPr>
        <w:t xml:space="preserve">virus </w:t>
      </w:r>
      <w:r w:rsidR="00E559D4">
        <w:rPr>
          <w:rFonts w:ascii="Verdana" w:hAnsi="Verdana"/>
          <w:lang w:val="es-MX"/>
        </w:rPr>
        <w:t>respirator</w:t>
      </w:r>
      <w:r w:rsidR="00B06E50">
        <w:rPr>
          <w:rFonts w:ascii="Verdana" w:hAnsi="Verdana"/>
          <w:lang w:val="es-MX"/>
        </w:rPr>
        <w:t xml:space="preserve">ios en pacientes hospitalizados: 2 casos de Virus Respiratorios (niños entre 1 y 14 años), 1 caso de Parainfluenza </w:t>
      </w:r>
      <w:r w:rsidR="0079278D">
        <w:rPr>
          <w:rFonts w:ascii="Verdana" w:hAnsi="Verdana"/>
          <w:lang w:val="es-MX"/>
        </w:rPr>
        <w:t xml:space="preserve">(niño entre 1 a 4 años), 1 caso de Influenza A </w:t>
      </w:r>
      <w:r w:rsidR="005D50A6">
        <w:rPr>
          <w:rFonts w:ascii="Verdana" w:hAnsi="Verdana"/>
          <w:lang w:val="es-MX"/>
        </w:rPr>
        <w:t xml:space="preserve">en </w:t>
      </w:r>
      <w:r w:rsidR="0079278D">
        <w:rPr>
          <w:rFonts w:ascii="Verdana" w:hAnsi="Verdana"/>
          <w:lang w:val="es-MX"/>
        </w:rPr>
        <w:t>paciente adulto.</w:t>
      </w:r>
    </w:p>
    <w:p w:rsidR="0079278D" w:rsidRPr="00F94884" w:rsidRDefault="0079278D" w:rsidP="00B331DB">
      <w:pPr>
        <w:pStyle w:val="Sangradetextonormal"/>
        <w:ind w:firstLine="708"/>
        <w:jc w:val="center"/>
        <w:rPr>
          <w:b/>
        </w:rPr>
      </w:pPr>
    </w:p>
    <w:p w:rsidR="00B331DB" w:rsidRPr="00F94884" w:rsidRDefault="00FC714A" w:rsidP="00B331DB">
      <w:pPr>
        <w:pStyle w:val="Sangradetextonormal"/>
        <w:ind w:firstLine="708"/>
        <w:jc w:val="center"/>
        <w:rPr>
          <w:b/>
        </w:rPr>
      </w:pPr>
      <w:r w:rsidRPr="00F94884">
        <w:rPr>
          <w:b/>
        </w:rPr>
        <w:t>COMPARACIÓ</w:t>
      </w:r>
      <w:r w:rsidR="003F2988" w:rsidRPr="00F94884">
        <w:rPr>
          <w:b/>
        </w:rPr>
        <w:t>N VIRUS AISLADOS LABORATOR</w:t>
      </w:r>
      <w:r w:rsidRPr="00F94884">
        <w:rPr>
          <w:b/>
        </w:rPr>
        <w:t xml:space="preserve">IO CLÍNICO HOSPITAL SAN CAMILO </w:t>
      </w:r>
      <w:r w:rsidR="003F2988" w:rsidRPr="00F94884">
        <w:rPr>
          <w:b/>
        </w:rPr>
        <w:t xml:space="preserve">SAN FELIPE, </w:t>
      </w:r>
      <w:r w:rsidR="0079278D" w:rsidRPr="00F94884">
        <w:rPr>
          <w:b/>
        </w:rPr>
        <w:t>AÑO 2014</w:t>
      </w:r>
      <w:r w:rsidRPr="00F94884">
        <w:rPr>
          <w:b/>
        </w:rPr>
        <w:t>-2018</w:t>
      </w:r>
    </w:p>
    <w:p w:rsidR="00E559D4" w:rsidRDefault="00E559D4" w:rsidP="006E0D54">
      <w:pPr>
        <w:spacing w:after="200" w:line="276" w:lineRule="auto"/>
        <w:jc w:val="center"/>
        <w:rPr>
          <w:rFonts w:ascii="Verdana" w:hAnsi="Verdana"/>
        </w:rPr>
      </w:pPr>
    </w:p>
    <w:p w:rsidR="00E559D4" w:rsidRDefault="0079278D" w:rsidP="006E0D54">
      <w:pPr>
        <w:spacing w:after="200" w:line="276" w:lineRule="auto"/>
        <w:jc w:val="center"/>
        <w:rPr>
          <w:rFonts w:ascii="Verdana" w:hAnsi="Verdana"/>
        </w:rPr>
      </w:pPr>
      <w:r>
        <w:rPr>
          <w:noProof/>
          <w:lang w:val="es-CL" w:eastAsia="es-CL"/>
        </w:rPr>
        <w:drawing>
          <wp:inline distT="0" distB="0" distL="0" distR="0" wp14:anchorId="4CA89823" wp14:editId="563F1B92">
            <wp:extent cx="4781550" cy="3404870"/>
            <wp:effectExtent l="0" t="0" r="0" b="508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510897" w:rsidRPr="00E559D4">
        <w:rPr>
          <w:rFonts w:ascii="Verdana" w:hAnsi="Verdana"/>
        </w:rPr>
        <w:t xml:space="preserve"> </w:t>
      </w:r>
    </w:p>
    <w:p w:rsidR="00B331DB" w:rsidRPr="00E559D4" w:rsidRDefault="003B62E8" w:rsidP="0079278D">
      <w:pPr>
        <w:spacing w:after="20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Al comparar la circulación viral en el último quinquenio, se puede observar que este año </w:t>
      </w:r>
      <w:r w:rsidR="0079278D">
        <w:rPr>
          <w:rFonts w:ascii="Verdana" w:hAnsi="Verdana"/>
        </w:rPr>
        <w:t xml:space="preserve">hasta el momento </w:t>
      </w:r>
      <w:r>
        <w:rPr>
          <w:rFonts w:ascii="Verdana" w:hAnsi="Verdana"/>
        </w:rPr>
        <w:t xml:space="preserve">se ha mantenido </w:t>
      </w:r>
      <w:r w:rsidR="0079278D">
        <w:rPr>
          <w:rFonts w:ascii="Verdana" w:hAnsi="Verdana"/>
        </w:rPr>
        <w:t>un comportamiento similar a los años anteriores.</w:t>
      </w:r>
      <w:r w:rsidR="00B331DB" w:rsidRPr="00E559D4">
        <w:rPr>
          <w:rFonts w:ascii="Verdana" w:hAnsi="Verdana"/>
        </w:rPr>
        <w:br w:type="page"/>
      </w:r>
    </w:p>
    <w:p w:rsidR="006E3B30" w:rsidRPr="00457298" w:rsidRDefault="006E3B30" w:rsidP="0050766C">
      <w:pPr>
        <w:spacing w:after="200" w:line="276" w:lineRule="auto"/>
        <w:rPr>
          <w:rFonts w:ascii="Verdana" w:hAnsi="Verdana"/>
          <w:color w:val="FF0000"/>
        </w:rPr>
      </w:pPr>
    </w:p>
    <w:p w:rsidR="006E3B30" w:rsidRPr="00F04FE3" w:rsidRDefault="006E3B30" w:rsidP="006E3B3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F04FE3">
        <w:rPr>
          <w:rFonts w:ascii="Arial" w:hAnsi="Arial" w:cs="Arial"/>
          <w:sz w:val="22"/>
          <w:szCs w:val="22"/>
          <w:lang w:val="es-MX"/>
        </w:rPr>
        <w:t xml:space="preserve">El presente informe se </w:t>
      </w:r>
      <w:r w:rsidR="003B62E8" w:rsidRPr="00F04FE3">
        <w:rPr>
          <w:rFonts w:ascii="Arial" w:hAnsi="Arial" w:cs="Arial"/>
          <w:sz w:val="22"/>
          <w:szCs w:val="22"/>
          <w:lang w:val="es-MX"/>
        </w:rPr>
        <w:t>realizó con el análisis de las consultas tanto ambulatorias como hospitalarias entre los años 2016 a 2018.</w:t>
      </w:r>
    </w:p>
    <w:p w:rsidR="006E3B30" w:rsidRPr="00457298" w:rsidRDefault="006E3B30" w:rsidP="006E3B30">
      <w:pPr>
        <w:ind w:firstLine="708"/>
        <w:jc w:val="both"/>
        <w:rPr>
          <w:rFonts w:ascii="Verdana" w:hAnsi="Verdana"/>
          <w:color w:val="FF0000"/>
          <w:u w:val="single"/>
          <w:lang w:val="es-MX"/>
        </w:rPr>
      </w:pPr>
    </w:p>
    <w:p w:rsidR="006E3B30" w:rsidRPr="006760F4" w:rsidRDefault="006E3B30" w:rsidP="006E3B30">
      <w:pPr>
        <w:pStyle w:val="Ttulo3"/>
        <w:rPr>
          <w:rFonts w:ascii="Verdana" w:hAnsi="Verdana"/>
          <w:sz w:val="20"/>
          <w:szCs w:val="20"/>
        </w:rPr>
      </w:pPr>
      <w:r w:rsidRPr="006760F4">
        <w:rPr>
          <w:rFonts w:ascii="Verdana" w:hAnsi="Verdana"/>
          <w:b w:val="0"/>
          <w:bCs w:val="0"/>
          <w:sz w:val="20"/>
          <w:szCs w:val="20"/>
          <w:lang w:val="es-MX"/>
        </w:rPr>
        <w:t xml:space="preserve">         </w:t>
      </w:r>
      <w:r w:rsidRPr="006760F4">
        <w:rPr>
          <w:rFonts w:ascii="Verdana" w:hAnsi="Verdana"/>
          <w:sz w:val="20"/>
          <w:szCs w:val="20"/>
        </w:rPr>
        <w:t>CONCLUSION</w:t>
      </w:r>
      <w:r w:rsidR="007D467B" w:rsidRPr="006760F4">
        <w:rPr>
          <w:rFonts w:ascii="Verdana" w:hAnsi="Verdana"/>
          <w:sz w:val="20"/>
          <w:szCs w:val="20"/>
        </w:rPr>
        <w:t>ES</w:t>
      </w:r>
      <w:r w:rsidRPr="006760F4">
        <w:rPr>
          <w:rFonts w:ascii="Verdana" w:hAnsi="Verdana"/>
          <w:sz w:val="20"/>
          <w:szCs w:val="20"/>
        </w:rPr>
        <w:t>:</w:t>
      </w:r>
    </w:p>
    <w:p w:rsidR="006E3B30" w:rsidRPr="006760F4" w:rsidRDefault="006E3B30" w:rsidP="006E3B3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66EF2" w:rsidRPr="006760F4" w:rsidRDefault="007C6216" w:rsidP="00531985">
      <w:pPr>
        <w:pStyle w:val="Prrafodelista"/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 xml:space="preserve">Al </w:t>
      </w:r>
      <w:r w:rsidR="00DD400A" w:rsidRPr="006760F4">
        <w:rPr>
          <w:rFonts w:ascii="Arial" w:hAnsi="Arial" w:cs="Arial"/>
          <w:sz w:val="22"/>
          <w:szCs w:val="22"/>
          <w:lang w:val="es-MX"/>
        </w:rPr>
        <w:t>analizar la curva</w:t>
      </w:r>
      <w:r w:rsidR="00531985" w:rsidRPr="006760F4">
        <w:rPr>
          <w:rFonts w:ascii="Arial" w:hAnsi="Arial" w:cs="Arial"/>
          <w:sz w:val="22"/>
          <w:szCs w:val="22"/>
          <w:lang w:val="es-MX"/>
        </w:rPr>
        <w:t xml:space="preserve"> del comportamiento de las consultas respiratorias </w:t>
      </w:r>
      <w:r w:rsidR="00F23104" w:rsidRPr="006760F4">
        <w:rPr>
          <w:rFonts w:ascii="Arial" w:hAnsi="Arial" w:cs="Arial"/>
          <w:sz w:val="22"/>
          <w:szCs w:val="22"/>
          <w:lang w:val="es-MX"/>
        </w:rPr>
        <w:t>entre los años 2016 al 2018 según lo observado en la semana anterior,</w:t>
      </w:r>
      <w:r w:rsidR="00531985" w:rsidRPr="006760F4">
        <w:rPr>
          <w:rFonts w:ascii="Arial" w:hAnsi="Arial" w:cs="Arial"/>
          <w:sz w:val="22"/>
          <w:szCs w:val="22"/>
          <w:lang w:val="es-MX"/>
        </w:rPr>
        <w:t xml:space="preserve"> se puede</w:t>
      </w:r>
      <w:r w:rsidR="007D2E66" w:rsidRPr="006760F4">
        <w:rPr>
          <w:rFonts w:ascii="Arial" w:hAnsi="Arial" w:cs="Arial"/>
          <w:sz w:val="22"/>
          <w:szCs w:val="22"/>
          <w:lang w:val="es-MX"/>
        </w:rPr>
        <w:t xml:space="preserve"> señalar lo siguiente par</w:t>
      </w:r>
      <w:r w:rsidR="00F04FE3" w:rsidRPr="006760F4">
        <w:rPr>
          <w:rFonts w:ascii="Arial" w:hAnsi="Arial" w:cs="Arial"/>
          <w:sz w:val="22"/>
          <w:szCs w:val="22"/>
          <w:lang w:val="es-MX"/>
        </w:rPr>
        <w:t>a la semana Epidemiológica Nº 22</w:t>
      </w:r>
      <w:r w:rsidR="007D2E66" w:rsidRPr="006760F4">
        <w:rPr>
          <w:rFonts w:ascii="Arial" w:hAnsi="Arial" w:cs="Arial"/>
          <w:sz w:val="22"/>
          <w:szCs w:val="22"/>
          <w:lang w:val="es-MX"/>
        </w:rPr>
        <w:t>:</w:t>
      </w:r>
    </w:p>
    <w:p w:rsidR="007D2E66" w:rsidRPr="006760F4" w:rsidRDefault="007D2E66" w:rsidP="007D2E66">
      <w:pPr>
        <w:pStyle w:val="Prrafodelista"/>
        <w:tabs>
          <w:tab w:val="left" w:pos="3225"/>
        </w:tabs>
        <w:ind w:left="709"/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ab/>
      </w:r>
    </w:p>
    <w:p w:rsidR="00D45818" w:rsidRPr="006760F4" w:rsidRDefault="00366EF2" w:rsidP="00366EF2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>En atención primaria de salud</w:t>
      </w:r>
      <w:r w:rsidR="00531985" w:rsidRPr="006760F4">
        <w:rPr>
          <w:rFonts w:ascii="Arial" w:hAnsi="Arial" w:cs="Arial"/>
          <w:sz w:val="22"/>
          <w:szCs w:val="22"/>
          <w:lang w:val="es-MX"/>
        </w:rPr>
        <w:t xml:space="preserve"> </w:t>
      </w:r>
      <w:r w:rsidR="00D57AF5" w:rsidRPr="006760F4">
        <w:rPr>
          <w:rFonts w:ascii="Arial" w:hAnsi="Arial" w:cs="Arial"/>
          <w:sz w:val="22"/>
          <w:szCs w:val="22"/>
          <w:lang w:val="es-MX"/>
        </w:rPr>
        <w:t xml:space="preserve">las consultas </w:t>
      </w:r>
      <w:r w:rsidR="00F23104" w:rsidRPr="006760F4">
        <w:rPr>
          <w:rFonts w:ascii="Arial" w:hAnsi="Arial" w:cs="Arial"/>
          <w:sz w:val="22"/>
          <w:szCs w:val="22"/>
          <w:lang w:val="es-MX"/>
        </w:rPr>
        <w:t>presentaron</w:t>
      </w:r>
      <w:r w:rsidR="00D45818" w:rsidRPr="006760F4">
        <w:rPr>
          <w:rFonts w:ascii="Arial" w:hAnsi="Arial" w:cs="Arial"/>
          <w:sz w:val="22"/>
          <w:szCs w:val="22"/>
          <w:lang w:val="es-MX"/>
        </w:rPr>
        <w:t xml:space="preserve"> </w:t>
      </w:r>
      <w:r w:rsidR="002479DD">
        <w:rPr>
          <w:rFonts w:ascii="Arial" w:hAnsi="Arial" w:cs="Arial"/>
          <w:sz w:val="22"/>
          <w:szCs w:val="22"/>
          <w:lang w:val="es-MX"/>
        </w:rPr>
        <w:t>aumento considerable, encontrándose en niños en la zona de éxito y adultos en zona de alerta.</w:t>
      </w:r>
    </w:p>
    <w:p w:rsidR="00D45818" w:rsidRPr="006760F4" w:rsidRDefault="00D45818" w:rsidP="00D45818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 xml:space="preserve">En el servicio de atención </w:t>
      </w:r>
      <w:r w:rsidR="00F23104" w:rsidRPr="006760F4">
        <w:rPr>
          <w:rFonts w:ascii="Arial" w:hAnsi="Arial" w:cs="Arial"/>
          <w:sz w:val="22"/>
          <w:szCs w:val="22"/>
          <w:lang w:val="es-MX"/>
        </w:rPr>
        <w:t>primaria de urgencia</w:t>
      </w:r>
      <w:r w:rsidRPr="006760F4">
        <w:rPr>
          <w:rFonts w:ascii="Arial" w:hAnsi="Arial" w:cs="Arial"/>
          <w:sz w:val="22"/>
          <w:szCs w:val="22"/>
          <w:lang w:val="es-MX"/>
        </w:rPr>
        <w:t xml:space="preserve"> las consultas </w:t>
      </w:r>
      <w:r w:rsidR="002479DD">
        <w:rPr>
          <w:rFonts w:ascii="Arial" w:hAnsi="Arial" w:cs="Arial"/>
          <w:sz w:val="22"/>
          <w:szCs w:val="22"/>
          <w:lang w:val="es-MX"/>
        </w:rPr>
        <w:t xml:space="preserve">tanto </w:t>
      </w:r>
      <w:r w:rsidRPr="006760F4">
        <w:rPr>
          <w:rFonts w:ascii="Arial" w:hAnsi="Arial" w:cs="Arial"/>
          <w:sz w:val="22"/>
          <w:szCs w:val="22"/>
          <w:lang w:val="es-MX"/>
        </w:rPr>
        <w:t xml:space="preserve">en niños </w:t>
      </w:r>
      <w:r w:rsidR="00F23104" w:rsidRPr="006760F4">
        <w:rPr>
          <w:rFonts w:ascii="Arial" w:hAnsi="Arial" w:cs="Arial"/>
          <w:sz w:val="22"/>
          <w:szCs w:val="22"/>
          <w:lang w:val="es-MX"/>
        </w:rPr>
        <w:t>y</w:t>
      </w:r>
      <w:r w:rsidR="002479DD">
        <w:rPr>
          <w:rFonts w:ascii="Arial" w:hAnsi="Arial" w:cs="Arial"/>
          <w:sz w:val="22"/>
          <w:szCs w:val="22"/>
          <w:lang w:val="es-MX"/>
        </w:rPr>
        <w:t xml:space="preserve"> adultos presentan disminución, ambos en zona de éxito.</w:t>
      </w:r>
    </w:p>
    <w:p w:rsidR="0050766C" w:rsidRPr="006760F4" w:rsidRDefault="00D57AF5" w:rsidP="0050766C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 xml:space="preserve">En </w:t>
      </w:r>
      <w:r w:rsidR="00B94193" w:rsidRPr="006760F4">
        <w:rPr>
          <w:rFonts w:ascii="Arial" w:hAnsi="Arial" w:cs="Arial"/>
          <w:sz w:val="22"/>
          <w:szCs w:val="22"/>
          <w:lang w:val="es-MX"/>
        </w:rPr>
        <w:t>el servicio</w:t>
      </w:r>
      <w:r w:rsidRPr="006760F4">
        <w:rPr>
          <w:rFonts w:ascii="Arial" w:hAnsi="Arial" w:cs="Arial"/>
          <w:sz w:val="22"/>
          <w:szCs w:val="22"/>
          <w:lang w:val="es-MX"/>
        </w:rPr>
        <w:t xml:space="preserve"> de urgencia </w:t>
      </w:r>
      <w:r w:rsidR="005704C4" w:rsidRPr="006760F4">
        <w:rPr>
          <w:rFonts w:ascii="Arial" w:hAnsi="Arial" w:cs="Arial"/>
          <w:sz w:val="22"/>
          <w:szCs w:val="22"/>
          <w:lang w:val="es-MX"/>
        </w:rPr>
        <w:t xml:space="preserve">hospitalaria las consultas </w:t>
      </w:r>
      <w:r w:rsidRPr="006760F4">
        <w:rPr>
          <w:rFonts w:ascii="Arial" w:hAnsi="Arial" w:cs="Arial"/>
          <w:sz w:val="22"/>
          <w:szCs w:val="22"/>
          <w:lang w:val="es-MX"/>
        </w:rPr>
        <w:t>en niños</w:t>
      </w:r>
      <w:r w:rsidR="00A64F90" w:rsidRPr="006760F4">
        <w:rPr>
          <w:rFonts w:ascii="Arial" w:hAnsi="Arial" w:cs="Arial"/>
          <w:sz w:val="22"/>
          <w:szCs w:val="22"/>
          <w:lang w:val="es-MX"/>
        </w:rPr>
        <w:t xml:space="preserve"> </w:t>
      </w:r>
      <w:r w:rsidR="00363526" w:rsidRPr="006760F4">
        <w:rPr>
          <w:rFonts w:ascii="Arial" w:hAnsi="Arial" w:cs="Arial"/>
          <w:sz w:val="22"/>
          <w:szCs w:val="22"/>
          <w:lang w:val="es-MX"/>
        </w:rPr>
        <w:t xml:space="preserve">y adultos </w:t>
      </w:r>
      <w:r w:rsidR="002479DD">
        <w:rPr>
          <w:rFonts w:ascii="Arial" w:hAnsi="Arial" w:cs="Arial"/>
          <w:sz w:val="22"/>
          <w:szCs w:val="22"/>
          <w:lang w:val="es-MX"/>
        </w:rPr>
        <w:t>presentan disminución</w:t>
      </w:r>
      <w:r w:rsidR="00C4725C">
        <w:rPr>
          <w:rFonts w:ascii="Arial" w:hAnsi="Arial" w:cs="Arial"/>
          <w:sz w:val="22"/>
          <w:szCs w:val="22"/>
          <w:lang w:val="es-MX"/>
        </w:rPr>
        <w:t>,</w:t>
      </w:r>
      <w:r w:rsidR="002479DD">
        <w:rPr>
          <w:rFonts w:ascii="Arial" w:hAnsi="Arial" w:cs="Arial"/>
          <w:sz w:val="22"/>
          <w:szCs w:val="22"/>
          <w:lang w:val="es-MX"/>
        </w:rPr>
        <w:t xml:space="preserve"> ambos ubicados en zona de éxito.</w:t>
      </w:r>
    </w:p>
    <w:p w:rsidR="00D57AF5" w:rsidRPr="00136821" w:rsidRDefault="00D57AF5" w:rsidP="002C017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36821">
        <w:rPr>
          <w:rFonts w:ascii="Arial" w:hAnsi="Arial" w:cs="Arial"/>
          <w:sz w:val="22"/>
          <w:szCs w:val="22"/>
          <w:lang w:val="es-MX"/>
        </w:rPr>
        <w:t>Las hospitalizaciones</w:t>
      </w:r>
      <w:r w:rsidR="008B4C77" w:rsidRPr="00136821">
        <w:rPr>
          <w:rFonts w:ascii="Arial" w:hAnsi="Arial" w:cs="Arial"/>
          <w:sz w:val="22"/>
          <w:szCs w:val="22"/>
          <w:lang w:val="es-MX"/>
        </w:rPr>
        <w:t xml:space="preserve"> de pacientes que ingresan por urgencia por causa respiratoria </w:t>
      </w:r>
      <w:r w:rsidRPr="00136821">
        <w:rPr>
          <w:rFonts w:ascii="Arial" w:hAnsi="Arial" w:cs="Arial"/>
          <w:sz w:val="22"/>
          <w:szCs w:val="22"/>
          <w:lang w:val="es-MX"/>
        </w:rPr>
        <w:t xml:space="preserve"> </w:t>
      </w:r>
      <w:r w:rsidR="008B4C77" w:rsidRPr="00136821">
        <w:rPr>
          <w:rFonts w:ascii="Arial" w:hAnsi="Arial" w:cs="Arial"/>
          <w:sz w:val="22"/>
          <w:szCs w:val="22"/>
          <w:lang w:val="es-MX"/>
        </w:rPr>
        <w:t>en men</w:t>
      </w:r>
      <w:r w:rsidR="00136821" w:rsidRPr="00136821">
        <w:rPr>
          <w:rFonts w:ascii="Arial" w:hAnsi="Arial" w:cs="Arial"/>
          <w:sz w:val="22"/>
          <w:szCs w:val="22"/>
          <w:lang w:val="es-MX"/>
        </w:rPr>
        <w:t xml:space="preserve">ores de 15 años </w:t>
      </w:r>
      <w:r w:rsidR="009353E9">
        <w:rPr>
          <w:rFonts w:ascii="Arial" w:hAnsi="Arial" w:cs="Arial"/>
          <w:sz w:val="22"/>
          <w:szCs w:val="22"/>
          <w:lang w:val="es-MX"/>
        </w:rPr>
        <w:t xml:space="preserve">han aumentado </w:t>
      </w:r>
      <w:r w:rsidR="00136821" w:rsidRPr="00136821">
        <w:rPr>
          <w:rFonts w:ascii="Arial" w:hAnsi="Arial" w:cs="Arial"/>
          <w:sz w:val="22"/>
          <w:szCs w:val="22"/>
          <w:lang w:val="es-MX"/>
        </w:rPr>
        <w:t>y en may</w:t>
      </w:r>
      <w:r w:rsidR="009353E9">
        <w:rPr>
          <w:rFonts w:ascii="Arial" w:hAnsi="Arial" w:cs="Arial"/>
          <w:sz w:val="22"/>
          <w:szCs w:val="22"/>
          <w:lang w:val="es-MX"/>
        </w:rPr>
        <w:t xml:space="preserve">ores de 15 años han disminuido, </w:t>
      </w:r>
      <w:r w:rsidR="009353E9">
        <w:rPr>
          <w:rFonts w:ascii="Arial" w:hAnsi="Arial" w:cs="Arial"/>
          <w:sz w:val="22"/>
          <w:szCs w:val="22"/>
          <w:lang w:val="es-MX"/>
        </w:rPr>
        <w:t xml:space="preserve">ubicándose </w:t>
      </w:r>
      <w:r w:rsidR="009353E9">
        <w:rPr>
          <w:rFonts w:ascii="Arial" w:hAnsi="Arial" w:cs="Arial"/>
          <w:sz w:val="22"/>
          <w:szCs w:val="22"/>
          <w:lang w:val="es-MX"/>
        </w:rPr>
        <w:t xml:space="preserve">ambas </w:t>
      </w:r>
      <w:r w:rsidR="009353E9">
        <w:rPr>
          <w:rFonts w:ascii="Arial" w:hAnsi="Arial" w:cs="Arial"/>
          <w:sz w:val="22"/>
          <w:szCs w:val="22"/>
          <w:lang w:val="es-MX"/>
        </w:rPr>
        <w:t>en zona de alerta</w:t>
      </w:r>
      <w:r w:rsidR="009353E9">
        <w:rPr>
          <w:rFonts w:ascii="Arial" w:hAnsi="Arial" w:cs="Arial"/>
          <w:sz w:val="22"/>
          <w:szCs w:val="22"/>
          <w:lang w:val="es-MX"/>
        </w:rPr>
        <w:t>.</w:t>
      </w:r>
    </w:p>
    <w:p w:rsidR="00531985" w:rsidRPr="006760F4" w:rsidRDefault="00531985" w:rsidP="0053198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70AF9" w:rsidRPr="006760F4" w:rsidRDefault="008A1504" w:rsidP="00C70AF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>B</w:t>
      </w:r>
      <w:r w:rsidR="00B627A0" w:rsidRPr="006760F4">
        <w:rPr>
          <w:rFonts w:ascii="Arial" w:hAnsi="Arial" w:cs="Arial"/>
          <w:sz w:val="22"/>
          <w:szCs w:val="22"/>
          <w:lang w:val="es-MX"/>
        </w:rPr>
        <w:t>asado</w:t>
      </w:r>
      <w:r w:rsidR="00BA62E4" w:rsidRPr="006760F4">
        <w:rPr>
          <w:rFonts w:ascii="Arial" w:hAnsi="Arial" w:cs="Arial"/>
          <w:sz w:val="22"/>
          <w:szCs w:val="22"/>
          <w:lang w:val="es-MX"/>
        </w:rPr>
        <w:t xml:space="preserve"> en los indicadores analizados </w:t>
      </w:r>
      <w:r w:rsidR="00B627A0" w:rsidRPr="006760F4">
        <w:rPr>
          <w:rFonts w:ascii="Arial" w:hAnsi="Arial" w:cs="Arial"/>
          <w:sz w:val="22"/>
          <w:szCs w:val="22"/>
          <w:lang w:val="es-MX"/>
        </w:rPr>
        <w:t>podemos concluir que hast</w:t>
      </w:r>
      <w:r w:rsidR="003375D3" w:rsidRPr="006760F4">
        <w:rPr>
          <w:rFonts w:ascii="Arial" w:hAnsi="Arial" w:cs="Arial"/>
          <w:sz w:val="22"/>
          <w:szCs w:val="22"/>
          <w:lang w:val="es-MX"/>
        </w:rPr>
        <w:t xml:space="preserve">a la semana </w:t>
      </w:r>
      <w:r w:rsidR="00D50725" w:rsidRPr="006760F4">
        <w:rPr>
          <w:rFonts w:ascii="Arial" w:hAnsi="Arial" w:cs="Arial"/>
          <w:sz w:val="22"/>
          <w:szCs w:val="22"/>
          <w:lang w:val="es-MX"/>
        </w:rPr>
        <w:t>epidem</w:t>
      </w:r>
      <w:r w:rsidR="00E46893" w:rsidRPr="006760F4">
        <w:rPr>
          <w:rFonts w:ascii="Arial" w:hAnsi="Arial" w:cs="Arial"/>
          <w:sz w:val="22"/>
          <w:szCs w:val="22"/>
          <w:lang w:val="es-MX"/>
        </w:rPr>
        <w:t>io</w:t>
      </w:r>
      <w:r w:rsidR="007C1B2D" w:rsidRPr="006760F4">
        <w:rPr>
          <w:rFonts w:ascii="Arial" w:hAnsi="Arial" w:cs="Arial"/>
          <w:sz w:val="22"/>
          <w:szCs w:val="22"/>
          <w:lang w:val="es-MX"/>
        </w:rPr>
        <w:t xml:space="preserve">lógica </w:t>
      </w:r>
      <w:r w:rsidR="00BA62E4" w:rsidRPr="006760F4">
        <w:rPr>
          <w:rFonts w:ascii="Arial" w:hAnsi="Arial" w:cs="Arial"/>
          <w:sz w:val="22"/>
          <w:szCs w:val="22"/>
          <w:lang w:val="es-MX"/>
        </w:rPr>
        <w:t>N</w:t>
      </w:r>
      <w:r w:rsidR="00EA15D2" w:rsidRPr="006760F4">
        <w:rPr>
          <w:rFonts w:ascii="Arial" w:hAnsi="Arial" w:cs="Arial"/>
          <w:sz w:val="22"/>
          <w:szCs w:val="22"/>
          <w:lang w:val="es-MX"/>
        </w:rPr>
        <w:t>º</w:t>
      </w:r>
      <w:r w:rsidR="00BA0F23" w:rsidRPr="006760F4">
        <w:rPr>
          <w:rFonts w:ascii="Arial" w:hAnsi="Arial" w:cs="Arial"/>
          <w:sz w:val="22"/>
          <w:szCs w:val="22"/>
          <w:lang w:val="es-MX"/>
        </w:rPr>
        <w:t xml:space="preserve"> </w:t>
      </w:r>
      <w:r w:rsidR="00C70AF9" w:rsidRPr="006760F4">
        <w:rPr>
          <w:rFonts w:ascii="Arial" w:hAnsi="Arial" w:cs="Arial"/>
          <w:sz w:val="22"/>
          <w:szCs w:val="22"/>
          <w:lang w:val="es-MX"/>
        </w:rPr>
        <w:t xml:space="preserve"> 22</w:t>
      </w:r>
      <w:r w:rsidR="00B627A0" w:rsidRPr="006760F4">
        <w:rPr>
          <w:rFonts w:ascii="Arial" w:hAnsi="Arial" w:cs="Arial"/>
          <w:sz w:val="22"/>
          <w:szCs w:val="22"/>
          <w:lang w:val="es-MX"/>
        </w:rPr>
        <w:t xml:space="preserve"> las Enfermedades Respiratorias en la jurisdicción del Servicio de Salud Aconcagua muestran un comportamiento correspondiente a un año no epidémico</w:t>
      </w:r>
      <w:r w:rsidR="006B3F3A">
        <w:rPr>
          <w:rFonts w:ascii="Arial" w:hAnsi="Arial" w:cs="Arial"/>
          <w:sz w:val="22"/>
          <w:szCs w:val="22"/>
          <w:lang w:val="es-MX"/>
        </w:rPr>
        <w:t>. S</w:t>
      </w:r>
      <w:r w:rsidR="00B627A0" w:rsidRPr="006760F4">
        <w:rPr>
          <w:rFonts w:ascii="Arial" w:hAnsi="Arial" w:cs="Arial"/>
          <w:sz w:val="22"/>
          <w:szCs w:val="22"/>
          <w:lang w:val="es-MX"/>
        </w:rPr>
        <w:t>in embargo, es importante mencionar que es necesario mantener la alerta y el refuerzo de las medidas de prevención en la población.</w:t>
      </w:r>
    </w:p>
    <w:p w:rsidR="001A1A17" w:rsidRPr="001A1A17" w:rsidRDefault="001A1A17" w:rsidP="001A1A17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:rsidR="00C70AF9" w:rsidRPr="006760F4" w:rsidRDefault="00C70AF9" w:rsidP="00C70AF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60F4">
        <w:rPr>
          <w:rFonts w:ascii="Arial" w:hAnsi="Arial" w:cs="Arial"/>
          <w:sz w:val="22"/>
          <w:szCs w:val="22"/>
          <w:lang w:val="es-MX"/>
        </w:rPr>
        <w:t>Respecto a de vacunación influenza</w:t>
      </w:r>
      <w:r w:rsidR="00714635" w:rsidRPr="006760F4">
        <w:rPr>
          <w:rFonts w:ascii="Arial" w:hAnsi="Arial" w:cs="Arial"/>
          <w:sz w:val="22"/>
          <w:szCs w:val="22"/>
          <w:lang w:val="es-MX"/>
        </w:rPr>
        <w:t xml:space="preserve"> con corte 31 de Marzo nuestros establecimientos </w:t>
      </w:r>
      <w:r w:rsidR="007C3FAB" w:rsidRPr="006760F4">
        <w:rPr>
          <w:rFonts w:ascii="Arial" w:hAnsi="Arial" w:cs="Arial"/>
          <w:sz w:val="22"/>
          <w:szCs w:val="22"/>
          <w:lang w:val="es-MX"/>
        </w:rPr>
        <w:t>tienen una cobertura</w:t>
      </w:r>
      <w:r w:rsidR="00580BDB">
        <w:rPr>
          <w:rFonts w:ascii="Arial" w:hAnsi="Arial" w:cs="Arial"/>
          <w:sz w:val="22"/>
          <w:szCs w:val="22"/>
          <w:lang w:val="es-MX"/>
        </w:rPr>
        <w:t xml:space="preserve"> de un 92</w:t>
      </w:r>
      <w:r w:rsidR="007C3FAB" w:rsidRPr="006760F4">
        <w:rPr>
          <w:rFonts w:ascii="Arial" w:hAnsi="Arial" w:cs="Arial"/>
          <w:sz w:val="22"/>
          <w:szCs w:val="22"/>
          <w:lang w:val="es-MX"/>
        </w:rPr>
        <w:t>%</w:t>
      </w:r>
      <w:r w:rsidR="00580BDB">
        <w:rPr>
          <w:rFonts w:ascii="Arial" w:hAnsi="Arial" w:cs="Arial"/>
          <w:sz w:val="22"/>
          <w:szCs w:val="22"/>
          <w:lang w:val="es-MX"/>
        </w:rPr>
        <w:t xml:space="preserve"> con 91.611 dosis administradas</w:t>
      </w:r>
      <w:r w:rsidR="007C3FAB" w:rsidRPr="006760F4">
        <w:rPr>
          <w:rFonts w:ascii="Arial" w:hAnsi="Arial" w:cs="Arial"/>
          <w:sz w:val="22"/>
          <w:szCs w:val="22"/>
          <w:lang w:val="es-MX"/>
        </w:rPr>
        <w:t>, superior al promedio país de un 84.2%.</w:t>
      </w:r>
    </w:p>
    <w:p w:rsidR="00DA56CD" w:rsidRPr="008C1542" w:rsidRDefault="00DA56CD" w:rsidP="00AD6DF9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8637DD" w:rsidRPr="0067210D" w:rsidRDefault="008637DD" w:rsidP="003820C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7210D">
        <w:rPr>
          <w:rFonts w:ascii="Arial" w:hAnsi="Arial" w:cs="Arial"/>
          <w:sz w:val="22"/>
          <w:szCs w:val="22"/>
          <w:lang w:val="es-MX"/>
        </w:rPr>
        <w:t>Para la Red tanto de Atención primaria como Hospitalaria fueron distribuidos recursos para contratación recurso humano de refuerzo, compra de insumos y medicamentos con el fin de fortalecer los distintos puntos de atención en el transcurso de 13 semanas.</w:t>
      </w:r>
    </w:p>
    <w:p w:rsidR="008637DD" w:rsidRDefault="008637DD" w:rsidP="008637DD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8637DD" w:rsidRDefault="008637DD" w:rsidP="008637DD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Atención Primaria de Salud, se asignaron recursos para:</w:t>
      </w:r>
    </w:p>
    <w:p w:rsidR="008637DD" w:rsidRDefault="008637DD" w:rsidP="008637D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Apoyo de campaña de vacunación</w:t>
      </w:r>
    </w:p>
    <w:p w:rsidR="008637DD" w:rsidRDefault="008637DD" w:rsidP="008637D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Refuerzo Kinesiólogo de Sala IRA/ERA</w:t>
      </w:r>
    </w:p>
    <w:p w:rsidR="008637DD" w:rsidRDefault="008637DD" w:rsidP="008637D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Refuerzo Médico CESFAM y Hospital Familia y Comunidad</w:t>
      </w:r>
    </w:p>
    <w:p w:rsidR="008637DD" w:rsidRDefault="008637DD" w:rsidP="008637D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Refuerzo SAPU con profesional médico y TENS</w:t>
      </w:r>
    </w:p>
    <w:p w:rsidR="008637DD" w:rsidRPr="001A1A17" w:rsidRDefault="008637DD" w:rsidP="008637DD">
      <w:pPr>
        <w:pStyle w:val="Prrafodelista"/>
        <w:ind w:left="1440"/>
        <w:jc w:val="both"/>
        <w:rPr>
          <w:rFonts w:ascii="Arial" w:hAnsi="Arial" w:cs="Arial"/>
          <w:sz w:val="22"/>
          <w:szCs w:val="22"/>
          <w:lang w:val="es-MX"/>
        </w:rPr>
      </w:pPr>
    </w:p>
    <w:p w:rsidR="008637DD" w:rsidRDefault="008637DD" w:rsidP="008637DD">
      <w:pPr>
        <w:pStyle w:val="Prrafodelista"/>
        <w:rPr>
          <w:rFonts w:ascii="Arial" w:hAnsi="Arial" w:cs="Arial"/>
          <w:noProof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MX"/>
        </w:rPr>
        <w:t>El monto total asignado asciende a $</w:t>
      </w:r>
      <w:r w:rsidRPr="001A1A17">
        <w:rPr>
          <w:rFonts w:ascii="Arial" w:hAnsi="Arial" w:cs="Arial"/>
          <w:noProof/>
          <w:sz w:val="22"/>
          <w:szCs w:val="22"/>
          <w:lang w:val="es-CL" w:eastAsia="es-CL"/>
        </w:rPr>
        <w:t>23</w:t>
      </w:r>
      <w:r>
        <w:rPr>
          <w:rFonts w:ascii="Arial" w:hAnsi="Arial" w:cs="Arial"/>
          <w:noProof/>
          <w:sz w:val="22"/>
          <w:szCs w:val="22"/>
          <w:lang w:val="es-CL" w:eastAsia="es-CL"/>
        </w:rPr>
        <w:t>.</w:t>
      </w:r>
      <w:r w:rsidRPr="001A1A17">
        <w:rPr>
          <w:rFonts w:ascii="Arial" w:hAnsi="Arial" w:cs="Arial"/>
          <w:noProof/>
          <w:sz w:val="22"/>
          <w:szCs w:val="22"/>
          <w:lang w:val="es-CL" w:eastAsia="es-CL"/>
        </w:rPr>
        <w:t>903</w:t>
      </w:r>
      <w:r>
        <w:rPr>
          <w:rFonts w:ascii="Arial" w:hAnsi="Arial" w:cs="Arial"/>
          <w:noProof/>
          <w:sz w:val="22"/>
          <w:szCs w:val="22"/>
          <w:lang w:val="es-CL" w:eastAsia="es-CL"/>
        </w:rPr>
        <w:t>.</w:t>
      </w:r>
      <w:r w:rsidRPr="001A1A17">
        <w:rPr>
          <w:rFonts w:ascii="Arial" w:hAnsi="Arial" w:cs="Arial"/>
          <w:noProof/>
          <w:sz w:val="22"/>
          <w:szCs w:val="22"/>
          <w:lang w:val="es-CL" w:eastAsia="es-CL"/>
        </w:rPr>
        <w:t>000</w:t>
      </w:r>
      <w:r w:rsidR="003509DE">
        <w:rPr>
          <w:rFonts w:ascii="Arial" w:hAnsi="Arial" w:cs="Arial"/>
          <w:noProof/>
          <w:sz w:val="22"/>
          <w:szCs w:val="22"/>
          <w:lang w:val="es-CL" w:eastAsia="es-CL"/>
        </w:rPr>
        <w:t>, informados a través de Ordinario enviado a los establecimientos en el mes de Abril.</w:t>
      </w:r>
    </w:p>
    <w:p w:rsidR="0067210D" w:rsidRDefault="0067210D" w:rsidP="008637DD">
      <w:pPr>
        <w:pStyle w:val="Prrafodelista"/>
        <w:rPr>
          <w:rFonts w:ascii="Arial" w:hAnsi="Arial" w:cs="Arial"/>
          <w:noProof/>
          <w:sz w:val="22"/>
          <w:szCs w:val="22"/>
          <w:lang w:val="es-CL" w:eastAsia="es-CL"/>
        </w:rPr>
      </w:pPr>
    </w:p>
    <w:p w:rsidR="0067210D" w:rsidRDefault="0067210D" w:rsidP="0067210D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 nivel Hospitalario se entregaron recursos para fortalecer las Unidades de Emergencia Hospitalaria con refuerzo médico, profesional Enfermera, Kinesiólogo y Tecnólogo Médico, también para c</w:t>
      </w:r>
      <w:r w:rsidRPr="00CE5242">
        <w:rPr>
          <w:rFonts w:ascii="Arial" w:hAnsi="Arial" w:cs="Arial"/>
          <w:sz w:val="22"/>
          <w:szCs w:val="22"/>
          <w:lang w:val="es-MX"/>
        </w:rPr>
        <w:t xml:space="preserve">ompra </w:t>
      </w:r>
      <w:r>
        <w:rPr>
          <w:rFonts w:ascii="Arial" w:hAnsi="Arial" w:cs="Arial"/>
          <w:sz w:val="22"/>
          <w:szCs w:val="22"/>
          <w:lang w:val="es-MX"/>
        </w:rPr>
        <w:t xml:space="preserve">de insumos-fármacos y para compra de reactivos de laboratorio. El monto total asignado asciende a </w:t>
      </w:r>
      <w:r w:rsidRPr="004465B9">
        <w:rPr>
          <w:rFonts w:ascii="Arial" w:hAnsi="Arial" w:cs="Arial"/>
          <w:sz w:val="22"/>
          <w:szCs w:val="22"/>
          <w:lang w:val="es-MX"/>
        </w:rPr>
        <w:t>$45.657.000</w:t>
      </w:r>
      <w:r w:rsidR="003509DE" w:rsidRPr="003509DE">
        <w:rPr>
          <w:rFonts w:ascii="Arial" w:hAnsi="Arial" w:cs="Arial"/>
          <w:noProof/>
          <w:sz w:val="22"/>
          <w:szCs w:val="22"/>
          <w:lang w:val="es-CL" w:eastAsia="es-CL"/>
        </w:rPr>
        <w:t xml:space="preserve"> </w:t>
      </w:r>
      <w:r w:rsidR="003509DE">
        <w:rPr>
          <w:rFonts w:ascii="Arial" w:hAnsi="Arial" w:cs="Arial"/>
          <w:noProof/>
          <w:sz w:val="22"/>
          <w:szCs w:val="22"/>
          <w:lang w:val="es-CL" w:eastAsia="es-CL"/>
        </w:rPr>
        <w:t xml:space="preserve">informados a través de Ordinario  </w:t>
      </w:r>
      <w:r w:rsidR="003509DE">
        <w:rPr>
          <w:rFonts w:ascii="Arial" w:hAnsi="Arial" w:cs="Arial"/>
          <w:noProof/>
          <w:sz w:val="22"/>
          <w:szCs w:val="22"/>
          <w:lang w:val="es-CL" w:eastAsia="es-CL"/>
        </w:rPr>
        <w:t>remitido a los establecimientos en el mes de Mayo.</w:t>
      </w:r>
    </w:p>
    <w:p w:rsidR="00B627A0" w:rsidRPr="00855087" w:rsidRDefault="00B627A0" w:rsidP="00B627A0">
      <w:pPr>
        <w:jc w:val="both"/>
        <w:rPr>
          <w:rFonts w:ascii="Arial" w:hAnsi="Arial" w:cs="Arial"/>
          <w:color w:val="FF0000"/>
          <w:sz w:val="22"/>
          <w:szCs w:val="22"/>
          <w:lang w:val="es-MX"/>
        </w:rPr>
      </w:pPr>
    </w:p>
    <w:p w:rsidR="001466DF" w:rsidRPr="008637DD" w:rsidRDefault="008637DD" w:rsidP="003509DE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 w:rsidRPr="008637DD">
        <w:rPr>
          <w:rFonts w:ascii="Arial" w:hAnsi="Arial" w:cs="Arial"/>
          <w:sz w:val="22"/>
          <w:szCs w:val="22"/>
          <w:lang w:val="es-MX"/>
        </w:rPr>
        <w:t>Estas estrategias están siendo implementadas de forma paulatina, según requerimiento.</w:t>
      </w:r>
      <w:bookmarkStart w:id="0" w:name="_GoBack"/>
      <w:bookmarkEnd w:id="0"/>
    </w:p>
    <w:sectPr w:rsidR="001466DF" w:rsidRPr="008637DD" w:rsidSect="006A0835">
      <w:pgSz w:w="12240" w:h="18720" w:code="14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4F4" w:rsidRDefault="00CF54F4" w:rsidP="00375E8C">
      <w:r>
        <w:separator/>
      </w:r>
    </w:p>
  </w:endnote>
  <w:endnote w:type="continuationSeparator" w:id="0">
    <w:p w:rsidR="00CF54F4" w:rsidRDefault="00CF54F4" w:rsidP="0037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4F4" w:rsidRDefault="00CF54F4" w:rsidP="00375E8C">
      <w:r>
        <w:separator/>
      </w:r>
    </w:p>
  </w:footnote>
  <w:footnote w:type="continuationSeparator" w:id="0">
    <w:p w:rsidR="00CF54F4" w:rsidRDefault="00CF54F4" w:rsidP="00375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CB5"/>
    <w:multiLevelType w:val="hybridMultilevel"/>
    <w:tmpl w:val="361AD072"/>
    <w:lvl w:ilvl="0" w:tplc="007262B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78D"/>
    <w:multiLevelType w:val="hybridMultilevel"/>
    <w:tmpl w:val="576C267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033B63"/>
    <w:multiLevelType w:val="hybridMultilevel"/>
    <w:tmpl w:val="D42C460E"/>
    <w:lvl w:ilvl="0" w:tplc="5808A3E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4A073C0"/>
    <w:multiLevelType w:val="hybridMultilevel"/>
    <w:tmpl w:val="DBF6EFE2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A101788"/>
    <w:multiLevelType w:val="hybridMultilevel"/>
    <w:tmpl w:val="17880044"/>
    <w:lvl w:ilvl="0" w:tplc="34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CDC5582"/>
    <w:multiLevelType w:val="hybridMultilevel"/>
    <w:tmpl w:val="5FFCB99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822752"/>
    <w:multiLevelType w:val="hybridMultilevel"/>
    <w:tmpl w:val="5C26A388"/>
    <w:lvl w:ilvl="0" w:tplc="111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C9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C7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8F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A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4A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E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C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4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DE7780"/>
    <w:multiLevelType w:val="hybridMultilevel"/>
    <w:tmpl w:val="50DA4C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C7F8C"/>
    <w:multiLevelType w:val="hybridMultilevel"/>
    <w:tmpl w:val="E494A6B0"/>
    <w:lvl w:ilvl="0" w:tplc="E042F41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60E1B"/>
    <w:multiLevelType w:val="hybridMultilevel"/>
    <w:tmpl w:val="A15A767C"/>
    <w:lvl w:ilvl="0" w:tplc="007262B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10052"/>
    <w:multiLevelType w:val="hybridMultilevel"/>
    <w:tmpl w:val="30EE758C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EC10E4"/>
    <w:multiLevelType w:val="hybridMultilevel"/>
    <w:tmpl w:val="5F7C896C"/>
    <w:lvl w:ilvl="0" w:tplc="3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88E5299"/>
    <w:multiLevelType w:val="hybridMultilevel"/>
    <w:tmpl w:val="D7E62FB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942F1C"/>
    <w:multiLevelType w:val="hybridMultilevel"/>
    <w:tmpl w:val="1F1E20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70899"/>
    <w:multiLevelType w:val="hybridMultilevel"/>
    <w:tmpl w:val="F78C6DC4"/>
    <w:lvl w:ilvl="0" w:tplc="E042F41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EB67EBA"/>
    <w:multiLevelType w:val="hybridMultilevel"/>
    <w:tmpl w:val="64FEFE0A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3F9742B"/>
    <w:multiLevelType w:val="hybridMultilevel"/>
    <w:tmpl w:val="2B28E8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A5F93"/>
    <w:multiLevelType w:val="hybridMultilevel"/>
    <w:tmpl w:val="9E8ABD86"/>
    <w:lvl w:ilvl="0" w:tplc="E042F4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C22A6"/>
    <w:multiLevelType w:val="hybridMultilevel"/>
    <w:tmpl w:val="F0187072"/>
    <w:lvl w:ilvl="0" w:tplc="3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4BBA6A3B"/>
    <w:multiLevelType w:val="hybridMultilevel"/>
    <w:tmpl w:val="632C049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596F2E"/>
    <w:multiLevelType w:val="hybridMultilevel"/>
    <w:tmpl w:val="476C6F6E"/>
    <w:lvl w:ilvl="0" w:tplc="45BCD4C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7176019"/>
    <w:multiLevelType w:val="hybridMultilevel"/>
    <w:tmpl w:val="FBAC92F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409DF"/>
    <w:multiLevelType w:val="hybridMultilevel"/>
    <w:tmpl w:val="926A6228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6459C"/>
    <w:multiLevelType w:val="hybridMultilevel"/>
    <w:tmpl w:val="7700BE0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01626A"/>
    <w:multiLevelType w:val="hybridMultilevel"/>
    <w:tmpl w:val="A15AA1B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7B7E35"/>
    <w:multiLevelType w:val="hybridMultilevel"/>
    <w:tmpl w:val="00D68F1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D4696F"/>
    <w:multiLevelType w:val="hybridMultilevel"/>
    <w:tmpl w:val="383009CC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BD42DE"/>
    <w:multiLevelType w:val="hybridMultilevel"/>
    <w:tmpl w:val="172C3D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A25F9"/>
    <w:multiLevelType w:val="hybridMultilevel"/>
    <w:tmpl w:val="0B10BC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D0708"/>
    <w:multiLevelType w:val="hybridMultilevel"/>
    <w:tmpl w:val="CAC6C4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A3E4C"/>
    <w:multiLevelType w:val="hybridMultilevel"/>
    <w:tmpl w:val="671860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D06A5"/>
    <w:multiLevelType w:val="hybridMultilevel"/>
    <w:tmpl w:val="E55225C8"/>
    <w:lvl w:ilvl="0" w:tplc="AFB8D1E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1"/>
  </w:num>
  <w:num w:numId="5">
    <w:abstractNumId w:val="20"/>
  </w:num>
  <w:num w:numId="6">
    <w:abstractNumId w:val="18"/>
  </w:num>
  <w:num w:numId="7">
    <w:abstractNumId w:val="27"/>
  </w:num>
  <w:num w:numId="8">
    <w:abstractNumId w:val="23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29"/>
  </w:num>
  <w:num w:numId="16">
    <w:abstractNumId w:val="30"/>
  </w:num>
  <w:num w:numId="17">
    <w:abstractNumId w:val="13"/>
  </w:num>
  <w:num w:numId="18">
    <w:abstractNumId w:val="28"/>
  </w:num>
  <w:num w:numId="19">
    <w:abstractNumId w:val="19"/>
  </w:num>
  <w:num w:numId="20">
    <w:abstractNumId w:val="9"/>
  </w:num>
  <w:num w:numId="21">
    <w:abstractNumId w:val="0"/>
  </w:num>
  <w:num w:numId="22">
    <w:abstractNumId w:val="24"/>
  </w:num>
  <w:num w:numId="23">
    <w:abstractNumId w:val="17"/>
  </w:num>
  <w:num w:numId="24">
    <w:abstractNumId w:val="10"/>
  </w:num>
  <w:num w:numId="25">
    <w:abstractNumId w:val="5"/>
  </w:num>
  <w:num w:numId="26">
    <w:abstractNumId w:val="8"/>
  </w:num>
  <w:num w:numId="27">
    <w:abstractNumId w:val="26"/>
  </w:num>
  <w:num w:numId="28">
    <w:abstractNumId w:val="2"/>
  </w:num>
  <w:num w:numId="29">
    <w:abstractNumId w:val="22"/>
  </w:num>
  <w:num w:numId="30">
    <w:abstractNumId w:val="7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30"/>
    <w:rsid w:val="0000153C"/>
    <w:rsid w:val="0000188B"/>
    <w:rsid w:val="00001FA0"/>
    <w:rsid w:val="00002702"/>
    <w:rsid w:val="00006298"/>
    <w:rsid w:val="00006656"/>
    <w:rsid w:val="0000677D"/>
    <w:rsid w:val="00006FE5"/>
    <w:rsid w:val="00010F3B"/>
    <w:rsid w:val="0001205A"/>
    <w:rsid w:val="000124BD"/>
    <w:rsid w:val="00012642"/>
    <w:rsid w:val="00016714"/>
    <w:rsid w:val="00017823"/>
    <w:rsid w:val="00023B17"/>
    <w:rsid w:val="00030593"/>
    <w:rsid w:val="000325DA"/>
    <w:rsid w:val="0003367A"/>
    <w:rsid w:val="000359C4"/>
    <w:rsid w:val="00036268"/>
    <w:rsid w:val="000407CA"/>
    <w:rsid w:val="000429DD"/>
    <w:rsid w:val="00044E52"/>
    <w:rsid w:val="00045BD4"/>
    <w:rsid w:val="0004677C"/>
    <w:rsid w:val="00046825"/>
    <w:rsid w:val="00051691"/>
    <w:rsid w:val="00052CFD"/>
    <w:rsid w:val="0005490D"/>
    <w:rsid w:val="00054DAA"/>
    <w:rsid w:val="00055AA9"/>
    <w:rsid w:val="00055CCD"/>
    <w:rsid w:val="0005698E"/>
    <w:rsid w:val="0006384F"/>
    <w:rsid w:val="00066265"/>
    <w:rsid w:val="00070178"/>
    <w:rsid w:val="000721DD"/>
    <w:rsid w:val="000767D7"/>
    <w:rsid w:val="000819A9"/>
    <w:rsid w:val="000826C6"/>
    <w:rsid w:val="0008474A"/>
    <w:rsid w:val="00085B49"/>
    <w:rsid w:val="00086670"/>
    <w:rsid w:val="00090792"/>
    <w:rsid w:val="000920D2"/>
    <w:rsid w:val="00092C9F"/>
    <w:rsid w:val="00093506"/>
    <w:rsid w:val="00093D7A"/>
    <w:rsid w:val="0009451C"/>
    <w:rsid w:val="000951A8"/>
    <w:rsid w:val="00095335"/>
    <w:rsid w:val="000A019D"/>
    <w:rsid w:val="000A10CB"/>
    <w:rsid w:val="000A1589"/>
    <w:rsid w:val="000A2B30"/>
    <w:rsid w:val="000A3A1F"/>
    <w:rsid w:val="000A4358"/>
    <w:rsid w:val="000A682E"/>
    <w:rsid w:val="000A7CD2"/>
    <w:rsid w:val="000B56EE"/>
    <w:rsid w:val="000C1B9A"/>
    <w:rsid w:val="000C2D2E"/>
    <w:rsid w:val="000C300B"/>
    <w:rsid w:val="000C49BE"/>
    <w:rsid w:val="000C6399"/>
    <w:rsid w:val="000C660C"/>
    <w:rsid w:val="000C7E1F"/>
    <w:rsid w:val="000D113C"/>
    <w:rsid w:val="000D11E8"/>
    <w:rsid w:val="000D1CA6"/>
    <w:rsid w:val="000D209F"/>
    <w:rsid w:val="000D319B"/>
    <w:rsid w:val="000D38F0"/>
    <w:rsid w:val="000D3E5F"/>
    <w:rsid w:val="000D6DC1"/>
    <w:rsid w:val="000E1B3B"/>
    <w:rsid w:val="000E1DA4"/>
    <w:rsid w:val="000E34D3"/>
    <w:rsid w:val="000E42ED"/>
    <w:rsid w:val="000E436F"/>
    <w:rsid w:val="000E6A7A"/>
    <w:rsid w:val="000E6C34"/>
    <w:rsid w:val="000F1840"/>
    <w:rsid w:val="000F1E05"/>
    <w:rsid w:val="000F2759"/>
    <w:rsid w:val="001027E0"/>
    <w:rsid w:val="00104B26"/>
    <w:rsid w:val="00106536"/>
    <w:rsid w:val="00121678"/>
    <w:rsid w:val="001218C0"/>
    <w:rsid w:val="001219F8"/>
    <w:rsid w:val="00121B9E"/>
    <w:rsid w:val="00125A00"/>
    <w:rsid w:val="00130268"/>
    <w:rsid w:val="00134E57"/>
    <w:rsid w:val="00136059"/>
    <w:rsid w:val="001367C9"/>
    <w:rsid w:val="00136821"/>
    <w:rsid w:val="00140461"/>
    <w:rsid w:val="00141356"/>
    <w:rsid w:val="0014181B"/>
    <w:rsid w:val="00142FDF"/>
    <w:rsid w:val="001466DF"/>
    <w:rsid w:val="001503BD"/>
    <w:rsid w:val="00152D1F"/>
    <w:rsid w:val="0015440F"/>
    <w:rsid w:val="0015462D"/>
    <w:rsid w:val="001569B2"/>
    <w:rsid w:val="00161873"/>
    <w:rsid w:val="001618B0"/>
    <w:rsid w:val="001624B1"/>
    <w:rsid w:val="001664B2"/>
    <w:rsid w:val="00171310"/>
    <w:rsid w:val="00172608"/>
    <w:rsid w:val="00173EF0"/>
    <w:rsid w:val="00173F0B"/>
    <w:rsid w:val="00174A70"/>
    <w:rsid w:val="0017540F"/>
    <w:rsid w:val="0017765D"/>
    <w:rsid w:val="00177A76"/>
    <w:rsid w:val="00180651"/>
    <w:rsid w:val="001806AD"/>
    <w:rsid w:val="0018082E"/>
    <w:rsid w:val="001836E6"/>
    <w:rsid w:val="00184117"/>
    <w:rsid w:val="00185E7B"/>
    <w:rsid w:val="0018741A"/>
    <w:rsid w:val="00191804"/>
    <w:rsid w:val="0019216A"/>
    <w:rsid w:val="001941C3"/>
    <w:rsid w:val="00196C0C"/>
    <w:rsid w:val="001A01BC"/>
    <w:rsid w:val="001A09EC"/>
    <w:rsid w:val="001A108E"/>
    <w:rsid w:val="001A1817"/>
    <w:rsid w:val="001A1A17"/>
    <w:rsid w:val="001A5616"/>
    <w:rsid w:val="001A7FBA"/>
    <w:rsid w:val="001B5326"/>
    <w:rsid w:val="001B596A"/>
    <w:rsid w:val="001B5C5E"/>
    <w:rsid w:val="001C2227"/>
    <w:rsid w:val="001C26D3"/>
    <w:rsid w:val="001C359F"/>
    <w:rsid w:val="001C5638"/>
    <w:rsid w:val="001C6BB1"/>
    <w:rsid w:val="001D0DE5"/>
    <w:rsid w:val="001D2F99"/>
    <w:rsid w:val="001D328B"/>
    <w:rsid w:val="001D4B53"/>
    <w:rsid w:val="001E1B25"/>
    <w:rsid w:val="001E21AD"/>
    <w:rsid w:val="001E2F77"/>
    <w:rsid w:val="001E4996"/>
    <w:rsid w:val="001E4F94"/>
    <w:rsid w:val="001E51BD"/>
    <w:rsid w:val="001F27F5"/>
    <w:rsid w:val="001F28A0"/>
    <w:rsid w:val="001F44C1"/>
    <w:rsid w:val="001F481D"/>
    <w:rsid w:val="001F5A2B"/>
    <w:rsid w:val="001F7E3B"/>
    <w:rsid w:val="00200ABD"/>
    <w:rsid w:val="00202D0B"/>
    <w:rsid w:val="002038FB"/>
    <w:rsid w:val="002040DE"/>
    <w:rsid w:val="00205875"/>
    <w:rsid w:val="002138C1"/>
    <w:rsid w:val="00214766"/>
    <w:rsid w:val="00220743"/>
    <w:rsid w:val="00222789"/>
    <w:rsid w:val="0022572A"/>
    <w:rsid w:val="0023042C"/>
    <w:rsid w:val="00233B6D"/>
    <w:rsid w:val="002347EE"/>
    <w:rsid w:val="00241383"/>
    <w:rsid w:val="002424FF"/>
    <w:rsid w:val="00244266"/>
    <w:rsid w:val="00246E3F"/>
    <w:rsid w:val="002478F6"/>
    <w:rsid w:val="002479DD"/>
    <w:rsid w:val="00251066"/>
    <w:rsid w:val="002523A4"/>
    <w:rsid w:val="00252614"/>
    <w:rsid w:val="00253800"/>
    <w:rsid w:val="00257033"/>
    <w:rsid w:val="002638EE"/>
    <w:rsid w:val="00263DEC"/>
    <w:rsid w:val="002644D5"/>
    <w:rsid w:val="00264D5F"/>
    <w:rsid w:val="0026569B"/>
    <w:rsid w:val="00265E53"/>
    <w:rsid w:val="00266911"/>
    <w:rsid w:val="00270E47"/>
    <w:rsid w:val="0027130A"/>
    <w:rsid w:val="002750BE"/>
    <w:rsid w:val="00276FDF"/>
    <w:rsid w:val="00282686"/>
    <w:rsid w:val="0028335F"/>
    <w:rsid w:val="00283837"/>
    <w:rsid w:val="00286E84"/>
    <w:rsid w:val="00287C27"/>
    <w:rsid w:val="0029012D"/>
    <w:rsid w:val="0029049C"/>
    <w:rsid w:val="0029288B"/>
    <w:rsid w:val="00294C4E"/>
    <w:rsid w:val="002959AB"/>
    <w:rsid w:val="00297BFF"/>
    <w:rsid w:val="002A2785"/>
    <w:rsid w:val="002A2B85"/>
    <w:rsid w:val="002A73F7"/>
    <w:rsid w:val="002B1718"/>
    <w:rsid w:val="002B2179"/>
    <w:rsid w:val="002B2B55"/>
    <w:rsid w:val="002B3438"/>
    <w:rsid w:val="002B5567"/>
    <w:rsid w:val="002C1A29"/>
    <w:rsid w:val="002C4F9A"/>
    <w:rsid w:val="002C73C8"/>
    <w:rsid w:val="002D06D8"/>
    <w:rsid w:val="002D08D2"/>
    <w:rsid w:val="002D2C9B"/>
    <w:rsid w:val="002D51A4"/>
    <w:rsid w:val="002D7FD2"/>
    <w:rsid w:val="002E3A9E"/>
    <w:rsid w:val="002E4900"/>
    <w:rsid w:val="002E5B7E"/>
    <w:rsid w:val="002E769F"/>
    <w:rsid w:val="002F21D2"/>
    <w:rsid w:val="002F2207"/>
    <w:rsid w:val="002F46B8"/>
    <w:rsid w:val="002F6B45"/>
    <w:rsid w:val="00300485"/>
    <w:rsid w:val="003027B3"/>
    <w:rsid w:val="00304297"/>
    <w:rsid w:val="003076DA"/>
    <w:rsid w:val="00307CFC"/>
    <w:rsid w:val="00310462"/>
    <w:rsid w:val="00310AE0"/>
    <w:rsid w:val="00311D7A"/>
    <w:rsid w:val="003122F3"/>
    <w:rsid w:val="0031271E"/>
    <w:rsid w:val="003133D9"/>
    <w:rsid w:val="0031381F"/>
    <w:rsid w:val="00313BE7"/>
    <w:rsid w:val="00314D73"/>
    <w:rsid w:val="0031687B"/>
    <w:rsid w:val="003170BF"/>
    <w:rsid w:val="003175E1"/>
    <w:rsid w:val="0032003D"/>
    <w:rsid w:val="00326909"/>
    <w:rsid w:val="00331136"/>
    <w:rsid w:val="00331830"/>
    <w:rsid w:val="003318A3"/>
    <w:rsid w:val="003324AC"/>
    <w:rsid w:val="00333471"/>
    <w:rsid w:val="00336CEF"/>
    <w:rsid w:val="003375D3"/>
    <w:rsid w:val="003410A0"/>
    <w:rsid w:val="00343792"/>
    <w:rsid w:val="003509DE"/>
    <w:rsid w:val="003513A7"/>
    <w:rsid w:val="00351F25"/>
    <w:rsid w:val="003541AD"/>
    <w:rsid w:val="003548A8"/>
    <w:rsid w:val="00354D9C"/>
    <w:rsid w:val="00356262"/>
    <w:rsid w:val="003567D4"/>
    <w:rsid w:val="00361273"/>
    <w:rsid w:val="00363526"/>
    <w:rsid w:val="00366007"/>
    <w:rsid w:val="00366EF2"/>
    <w:rsid w:val="003671A6"/>
    <w:rsid w:val="003746B5"/>
    <w:rsid w:val="00375E8C"/>
    <w:rsid w:val="00377B0E"/>
    <w:rsid w:val="00377C91"/>
    <w:rsid w:val="00380B1D"/>
    <w:rsid w:val="00381045"/>
    <w:rsid w:val="00381429"/>
    <w:rsid w:val="003816F7"/>
    <w:rsid w:val="00382C30"/>
    <w:rsid w:val="003845CD"/>
    <w:rsid w:val="00387F12"/>
    <w:rsid w:val="003930B2"/>
    <w:rsid w:val="00397319"/>
    <w:rsid w:val="003A09FC"/>
    <w:rsid w:val="003A0D65"/>
    <w:rsid w:val="003A1F4C"/>
    <w:rsid w:val="003A3747"/>
    <w:rsid w:val="003A5AAE"/>
    <w:rsid w:val="003A7F25"/>
    <w:rsid w:val="003B1322"/>
    <w:rsid w:val="003B155C"/>
    <w:rsid w:val="003B33DA"/>
    <w:rsid w:val="003B3EC3"/>
    <w:rsid w:val="003B5B8A"/>
    <w:rsid w:val="003B62E8"/>
    <w:rsid w:val="003B74CE"/>
    <w:rsid w:val="003B7DD9"/>
    <w:rsid w:val="003C22BA"/>
    <w:rsid w:val="003C4A2E"/>
    <w:rsid w:val="003C7DAD"/>
    <w:rsid w:val="003D04A4"/>
    <w:rsid w:val="003D0D92"/>
    <w:rsid w:val="003D1A34"/>
    <w:rsid w:val="003E0444"/>
    <w:rsid w:val="003E1C4B"/>
    <w:rsid w:val="003E7D91"/>
    <w:rsid w:val="003F2988"/>
    <w:rsid w:val="003F29DA"/>
    <w:rsid w:val="003F3F03"/>
    <w:rsid w:val="003F56A5"/>
    <w:rsid w:val="003F7872"/>
    <w:rsid w:val="00400A8C"/>
    <w:rsid w:val="00401FFE"/>
    <w:rsid w:val="00402226"/>
    <w:rsid w:val="00403BE4"/>
    <w:rsid w:val="004064F0"/>
    <w:rsid w:val="004073FC"/>
    <w:rsid w:val="00407C8C"/>
    <w:rsid w:val="00413086"/>
    <w:rsid w:val="00413199"/>
    <w:rsid w:val="00416AD9"/>
    <w:rsid w:val="004212E7"/>
    <w:rsid w:val="00421410"/>
    <w:rsid w:val="004241A4"/>
    <w:rsid w:val="00426E03"/>
    <w:rsid w:val="0043398C"/>
    <w:rsid w:val="00434B9C"/>
    <w:rsid w:val="00434D2C"/>
    <w:rsid w:val="004358D0"/>
    <w:rsid w:val="00440844"/>
    <w:rsid w:val="0044219C"/>
    <w:rsid w:val="004465B9"/>
    <w:rsid w:val="004471D3"/>
    <w:rsid w:val="00450901"/>
    <w:rsid w:val="0045465E"/>
    <w:rsid w:val="00454F46"/>
    <w:rsid w:val="00457018"/>
    <w:rsid w:val="00457298"/>
    <w:rsid w:val="00457E7F"/>
    <w:rsid w:val="0046078F"/>
    <w:rsid w:val="0046081F"/>
    <w:rsid w:val="0046302D"/>
    <w:rsid w:val="00463FFE"/>
    <w:rsid w:val="0046404A"/>
    <w:rsid w:val="00464419"/>
    <w:rsid w:val="0046529A"/>
    <w:rsid w:val="00466DFF"/>
    <w:rsid w:val="0046770E"/>
    <w:rsid w:val="0047217A"/>
    <w:rsid w:val="00472806"/>
    <w:rsid w:val="004765EE"/>
    <w:rsid w:val="00477573"/>
    <w:rsid w:val="00481960"/>
    <w:rsid w:val="00485D04"/>
    <w:rsid w:val="00491D89"/>
    <w:rsid w:val="004926AB"/>
    <w:rsid w:val="00492F32"/>
    <w:rsid w:val="00494032"/>
    <w:rsid w:val="00495E4D"/>
    <w:rsid w:val="004A0906"/>
    <w:rsid w:val="004A1738"/>
    <w:rsid w:val="004A1A0A"/>
    <w:rsid w:val="004A1C94"/>
    <w:rsid w:val="004A1E1A"/>
    <w:rsid w:val="004A34F6"/>
    <w:rsid w:val="004A5D9F"/>
    <w:rsid w:val="004A6455"/>
    <w:rsid w:val="004A77B6"/>
    <w:rsid w:val="004B2607"/>
    <w:rsid w:val="004B3FA5"/>
    <w:rsid w:val="004B4F7F"/>
    <w:rsid w:val="004C0E68"/>
    <w:rsid w:val="004C134A"/>
    <w:rsid w:val="004C13F5"/>
    <w:rsid w:val="004C4322"/>
    <w:rsid w:val="004C6484"/>
    <w:rsid w:val="004D3772"/>
    <w:rsid w:val="004D37AD"/>
    <w:rsid w:val="004D6B5C"/>
    <w:rsid w:val="004D71BA"/>
    <w:rsid w:val="004D7CD3"/>
    <w:rsid w:val="004E25D7"/>
    <w:rsid w:val="004E2972"/>
    <w:rsid w:val="004E32BB"/>
    <w:rsid w:val="004E4F23"/>
    <w:rsid w:val="004F0C0E"/>
    <w:rsid w:val="004F0E1A"/>
    <w:rsid w:val="004F111D"/>
    <w:rsid w:val="004F114F"/>
    <w:rsid w:val="004F3B25"/>
    <w:rsid w:val="004F3B51"/>
    <w:rsid w:val="004F3C46"/>
    <w:rsid w:val="004F7465"/>
    <w:rsid w:val="00500404"/>
    <w:rsid w:val="00500E64"/>
    <w:rsid w:val="00502200"/>
    <w:rsid w:val="00503CFD"/>
    <w:rsid w:val="00504981"/>
    <w:rsid w:val="0050766C"/>
    <w:rsid w:val="00510897"/>
    <w:rsid w:val="00511654"/>
    <w:rsid w:val="0051442B"/>
    <w:rsid w:val="00516C0D"/>
    <w:rsid w:val="00521339"/>
    <w:rsid w:val="00521EE2"/>
    <w:rsid w:val="005302EE"/>
    <w:rsid w:val="00531985"/>
    <w:rsid w:val="005355BD"/>
    <w:rsid w:val="005367BD"/>
    <w:rsid w:val="0053703E"/>
    <w:rsid w:val="005410FB"/>
    <w:rsid w:val="00541B2A"/>
    <w:rsid w:val="00541C90"/>
    <w:rsid w:val="00542E5C"/>
    <w:rsid w:val="00546939"/>
    <w:rsid w:val="0054720D"/>
    <w:rsid w:val="00550A68"/>
    <w:rsid w:val="00550B77"/>
    <w:rsid w:val="005565CB"/>
    <w:rsid w:val="00560250"/>
    <w:rsid w:val="00562DFE"/>
    <w:rsid w:val="0056585B"/>
    <w:rsid w:val="00567A46"/>
    <w:rsid w:val="005704C4"/>
    <w:rsid w:val="00570BC7"/>
    <w:rsid w:val="00572325"/>
    <w:rsid w:val="0057276B"/>
    <w:rsid w:val="005745C1"/>
    <w:rsid w:val="00575495"/>
    <w:rsid w:val="00575FA3"/>
    <w:rsid w:val="00576C34"/>
    <w:rsid w:val="00577B53"/>
    <w:rsid w:val="00580BDB"/>
    <w:rsid w:val="00580E40"/>
    <w:rsid w:val="005841B2"/>
    <w:rsid w:val="0058552A"/>
    <w:rsid w:val="00585A84"/>
    <w:rsid w:val="00585B54"/>
    <w:rsid w:val="00586387"/>
    <w:rsid w:val="0058780C"/>
    <w:rsid w:val="00587A29"/>
    <w:rsid w:val="0059076A"/>
    <w:rsid w:val="00590DB7"/>
    <w:rsid w:val="00591B1C"/>
    <w:rsid w:val="005920E6"/>
    <w:rsid w:val="00593657"/>
    <w:rsid w:val="00594F59"/>
    <w:rsid w:val="00595137"/>
    <w:rsid w:val="00596C86"/>
    <w:rsid w:val="005A0C74"/>
    <w:rsid w:val="005A1480"/>
    <w:rsid w:val="005A2E4F"/>
    <w:rsid w:val="005A7706"/>
    <w:rsid w:val="005B4EBA"/>
    <w:rsid w:val="005B5038"/>
    <w:rsid w:val="005B6E18"/>
    <w:rsid w:val="005D13D2"/>
    <w:rsid w:val="005D1953"/>
    <w:rsid w:val="005D265C"/>
    <w:rsid w:val="005D3AA3"/>
    <w:rsid w:val="005D4310"/>
    <w:rsid w:val="005D50A6"/>
    <w:rsid w:val="005D5F55"/>
    <w:rsid w:val="005D7C1A"/>
    <w:rsid w:val="005E3F24"/>
    <w:rsid w:val="005E5765"/>
    <w:rsid w:val="005E5CC1"/>
    <w:rsid w:val="005E6F53"/>
    <w:rsid w:val="005E70E8"/>
    <w:rsid w:val="005E77F1"/>
    <w:rsid w:val="005F128E"/>
    <w:rsid w:val="005F2836"/>
    <w:rsid w:val="005F4476"/>
    <w:rsid w:val="005F4CA3"/>
    <w:rsid w:val="005F51A8"/>
    <w:rsid w:val="005F6E08"/>
    <w:rsid w:val="005F6F30"/>
    <w:rsid w:val="00601D2E"/>
    <w:rsid w:val="006024D4"/>
    <w:rsid w:val="00603D0A"/>
    <w:rsid w:val="00604813"/>
    <w:rsid w:val="00604DF6"/>
    <w:rsid w:val="00605886"/>
    <w:rsid w:val="0060704F"/>
    <w:rsid w:val="00612331"/>
    <w:rsid w:val="00612B2D"/>
    <w:rsid w:val="00612FB1"/>
    <w:rsid w:val="00613BB6"/>
    <w:rsid w:val="006141E7"/>
    <w:rsid w:val="0061477A"/>
    <w:rsid w:val="00614E05"/>
    <w:rsid w:val="0061526D"/>
    <w:rsid w:val="00615D74"/>
    <w:rsid w:val="00621401"/>
    <w:rsid w:val="0062361C"/>
    <w:rsid w:val="00623D06"/>
    <w:rsid w:val="00624809"/>
    <w:rsid w:val="0062748C"/>
    <w:rsid w:val="00634D98"/>
    <w:rsid w:val="006352C7"/>
    <w:rsid w:val="006421DF"/>
    <w:rsid w:val="00643BE7"/>
    <w:rsid w:val="00644F53"/>
    <w:rsid w:val="00651C78"/>
    <w:rsid w:val="00651FE1"/>
    <w:rsid w:val="0065465F"/>
    <w:rsid w:val="00654B21"/>
    <w:rsid w:val="00656F6B"/>
    <w:rsid w:val="00657289"/>
    <w:rsid w:val="006576C8"/>
    <w:rsid w:val="00660D82"/>
    <w:rsid w:val="00664E03"/>
    <w:rsid w:val="00665320"/>
    <w:rsid w:val="006717B0"/>
    <w:rsid w:val="0067210D"/>
    <w:rsid w:val="006742CD"/>
    <w:rsid w:val="00674AAA"/>
    <w:rsid w:val="00674FDA"/>
    <w:rsid w:val="00675581"/>
    <w:rsid w:val="00675CDD"/>
    <w:rsid w:val="006760F4"/>
    <w:rsid w:val="0067753D"/>
    <w:rsid w:val="006814DE"/>
    <w:rsid w:val="00684692"/>
    <w:rsid w:val="00684C3B"/>
    <w:rsid w:val="006851EC"/>
    <w:rsid w:val="006900A3"/>
    <w:rsid w:val="00691C5F"/>
    <w:rsid w:val="00692997"/>
    <w:rsid w:val="00693EF7"/>
    <w:rsid w:val="006940C8"/>
    <w:rsid w:val="00696E62"/>
    <w:rsid w:val="00697136"/>
    <w:rsid w:val="006A0835"/>
    <w:rsid w:val="006A10FB"/>
    <w:rsid w:val="006A2EE0"/>
    <w:rsid w:val="006A3B31"/>
    <w:rsid w:val="006A3C60"/>
    <w:rsid w:val="006A521A"/>
    <w:rsid w:val="006A63E8"/>
    <w:rsid w:val="006A66B6"/>
    <w:rsid w:val="006A77F3"/>
    <w:rsid w:val="006A7F32"/>
    <w:rsid w:val="006B1DC9"/>
    <w:rsid w:val="006B239B"/>
    <w:rsid w:val="006B272D"/>
    <w:rsid w:val="006B3166"/>
    <w:rsid w:val="006B3F3A"/>
    <w:rsid w:val="006B6B18"/>
    <w:rsid w:val="006C77B6"/>
    <w:rsid w:val="006D00C1"/>
    <w:rsid w:val="006D08AD"/>
    <w:rsid w:val="006D19C0"/>
    <w:rsid w:val="006E0D54"/>
    <w:rsid w:val="006E0FC2"/>
    <w:rsid w:val="006E1BD8"/>
    <w:rsid w:val="006E38AF"/>
    <w:rsid w:val="006E3B30"/>
    <w:rsid w:val="006E6857"/>
    <w:rsid w:val="006F10D0"/>
    <w:rsid w:val="006F2B7F"/>
    <w:rsid w:val="006F4B6B"/>
    <w:rsid w:val="006F4C48"/>
    <w:rsid w:val="006F5FAC"/>
    <w:rsid w:val="0070069A"/>
    <w:rsid w:val="007044C2"/>
    <w:rsid w:val="00704C3C"/>
    <w:rsid w:val="00707634"/>
    <w:rsid w:val="00714635"/>
    <w:rsid w:val="00714E25"/>
    <w:rsid w:val="0071622D"/>
    <w:rsid w:val="00722A82"/>
    <w:rsid w:val="007244C7"/>
    <w:rsid w:val="00724D8C"/>
    <w:rsid w:val="00726744"/>
    <w:rsid w:val="007311F1"/>
    <w:rsid w:val="0073332A"/>
    <w:rsid w:val="00733A28"/>
    <w:rsid w:val="00736957"/>
    <w:rsid w:val="00741933"/>
    <w:rsid w:val="00742957"/>
    <w:rsid w:val="00744577"/>
    <w:rsid w:val="00745C6D"/>
    <w:rsid w:val="00754DE7"/>
    <w:rsid w:val="00757904"/>
    <w:rsid w:val="00757E0B"/>
    <w:rsid w:val="00761024"/>
    <w:rsid w:val="00761B87"/>
    <w:rsid w:val="00765723"/>
    <w:rsid w:val="00766C1F"/>
    <w:rsid w:val="007677F9"/>
    <w:rsid w:val="00770C0E"/>
    <w:rsid w:val="007720CE"/>
    <w:rsid w:val="00772EDF"/>
    <w:rsid w:val="00776BAA"/>
    <w:rsid w:val="00780379"/>
    <w:rsid w:val="007815CF"/>
    <w:rsid w:val="00782409"/>
    <w:rsid w:val="0078317B"/>
    <w:rsid w:val="00784305"/>
    <w:rsid w:val="007913CD"/>
    <w:rsid w:val="0079278D"/>
    <w:rsid w:val="00794302"/>
    <w:rsid w:val="007943F2"/>
    <w:rsid w:val="0079517A"/>
    <w:rsid w:val="00796073"/>
    <w:rsid w:val="007A1541"/>
    <w:rsid w:val="007A4789"/>
    <w:rsid w:val="007A6D4C"/>
    <w:rsid w:val="007B3C0F"/>
    <w:rsid w:val="007B4191"/>
    <w:rsid w:val="007B63A7"/>
    <w:rsid w:val="007B7C9B"/>
    <w:rsid w:val="007C061E"/>
    <w:rsid w:val="007C0629"/>
    <w:rsid w:val="007C1B2D"/>
    <w:rsid w:val="007C3867"/>
    <w:rsid w:val="007C3FAB"/>
    <w:rsid w:val="007C6216"/>
    <w:rsid w:val="007C6B3C"/>
    <w:rsid w:val="007C7BF8"/>
    <w:rsid w:val="007D0055"/>
    <w:rsid w:val="007D22D0"/>
    <w:rsid w:val="007D2643"/>
    <w:rsid w:val="007D2E66"/>
    <w:rsid w:val="007D467B"/>
    <w:rsid w:val="007D65A6"/>
    <w:rsid w:val="007D6FFA"/>
    <w:rsid w:val="007D7C4C"/>
    <w:rsid w:val="007E0286"/>
    <w:rsid w:val="007E06B6"/>
    <w:rsid w:val="007E1560"/>
    <w:rsid w:val="007E7EB4"/>
    <w:rsid w:val="007F137B"/>
    <w:rsid w:val="007F20FD"/>
    <w:rsid w:val="007F3E7E"/>
    <w:rsid w:val="007F4F6F"/>
    <w:rsid w:val="007F5C8F"/>
    <w:rsid w:val="00800E4F"/>
    <w:rsid w:val="00802B14"/>
    <w:rsid w:val="00802B5C"/>
    <w:rsid w:val="00802D96"/>
    <w:rsid w:val="00803577"/>
    <w:rsid w:val="0080384C"/>
    <w:rsid w:val="0080515A"/>
    <w:rsid w:val="00806394"/>
    <w:rsid w:val="00806878"/>
    <w:rsid w:val="00807D37"/>
    <w:rsid w:val="00810E7E"/>
    <w:rsid w:val="008110EB"/>
    <w:rsid w:val="00812029"/>
    <w:rsid w:val="0081306C"/>
    <w:rsid w:val="00813C8E"/>
    <w:rsid w:val="008150B9"/>
    <w:rsid w:val="00815670"/>
    <w:rsid w:val="00816506"/>
    <w:rsid w:val="00816A5C"/>
    <w:rsid w:val="00823288"/>
    <w:rsid w:val="00823526"/>
    <w:rsid w:val="0082370B"/>
    <w:rsid w:val="00826997"/>
    <w:rsid w:val="00831477"/>
    <w:rsid w:val="008321EF"/>
    <w:rsid w:val="00832FC4"/>
    <w:rsid w:val="00835AF3"/>
    <w:rsid w:val="0083651B"/>
    <w:rsid w:val="00842147"/>
    <w:rsid w:val="00842FFE"/>
    <w:rsid w:val="00843453"/>
    <w:rsid w:val="00843C6E"/>
    <w:rsid w:val="00843D14"/>
    <w:rsid w:val="00850DF4"/>
    <w:rsid w:val="00850EAC"/>
    <w:rsid w:val="00852C35"/>
    <w:rsid w:val="00852EE1"/>
    <w:rsid w:val="008540A2"/>
    <w:rsid w:val="00855087"/>
    <w:rsid w:val="008550BC"/>
    <w:rsid w:val="00855BAA"/>
    <w:rsid w:val="008637DD"/>
    <w:rsid w:val="00866D4F"/>
    <w:rsid w:val="00871E5F"/>
    <w:rsid w:val="00873BC4"/>
    <w:rsid w:val="00874C1A"/>
    <w:rsid w:val="00874E72"/>
    <w:rsid w:val="00875019"/>
    <w:rsid w:val="00875178"/>
    <w:rsid w:val="00880473"/>
    <w:rsid w:val="00880848"/>
    <w:rsid w:val="00882C1E"/>
    <w:rsid w:val="008840D0"/>
    <w:rsid w:val="00885B0E"/>
    <w:rsid w:val="00890CC9"/>
    <w:rsid w:val="0089336F"/>
    <w:rsid w:val="008A1504"/>
    <w:rsid w:val="008A37D1"/>
    <w:rsid w:val="008B21A6"/>
    <w:rsid w:val="008B4C77"/>
    <w:rsid w:val="008C0A5E"/>
    <w:rsid w:val="008C0F01"/>
    <w:rsid w:val="008C1448"/>
    <w:rsid w:val="008C1542"/>
    <w:rsid w:val="008C2765"/>
    <w:rsid w:val="008C294E"/>
    <w:rsid w:val="008C2CEF"/>
    <w:rsid w:val="008C2F9C"/>
    <w:rsid w:val="008C5C0D"/>
    <w:rsid w:val="008C786A"/>
    <w:rsid w:val="008C7F45"/>
    <w:rsid w:val="008D14D8"/>
    <w:rsid w:val="008D2D40"/>
    <w:rsid w:val="008D3176"/>
    <w:rsid w:val="008D317B"/>
    <w:rsid w:val="008D3BAD"/>
    <w:rsid w:val="008D3BC6"/>
    <w:rsid w:val="008D5F43"/>
    <w:rsid w:val="008D621F"/>
    <w:rsid w:val="008D6446"/>
    <w:rsid w:val="008D65C7"/>
    <w:rsid w:val="008D6946"/>
    <w:rsid w:val="008D75A1"/>
    <w:rsid w:val="008E1990"/>
    <w:rsid w:val="008E33D0"/>
    <w:rsid w:val="008E33DC"/>
    <w:rsid w:val="008E401B"/>
    <w:rsid w:val="008E50CC"/>
    <w:rsid w:val="008E6FE8"/>
    <w:rsid w:val="008F4025"/>
    <w:rsid w:val="00902AA6"/>
    <w:rsid w:val="00903227"/>
    <w:rsid w:val="00905C8B"/>
    <w:rsid w:val="00912EF8"/>
    <w:rsid w:val="00913128"/>
    <w:rsid w:val="00913ACB"/>
    <w:rsid w:val="00914BDD"/>
    <w:rsid w:val="00914EC0"/>
    <w:rsid w:val="009153C5"/>
    <w:rsid w:val="0091647E"/>
    <w:rsid w:val="00917E5F"/>
    <w:rsid w:val="0092309A"/>
    <w:rsid w:val="009270A3"/>
    <w:rsid w:val="009272B8"/>
    <w:rsid w:val="00935053"/>
    <w:rsid w:val="009353E9"/>
    <w:rsid w:val="00935F14"/>
    <w:rsid w:val="009369D4"/>
    <w:rsid w:val="009407A8"/>
    <w:rsid w:val="00940E53"/>
    <w:rsid w:val="0094118E"/>
    <w:rsid w:val="009412C1"/>
    <w:rsid w:val="009417E1"/>
    <w:rsid w:val="00942CC7"/>
    <w:rsid w:val="0094391A"/>
    <w:rsid w:val="00945B2F"/>
    <w:rsid w:val="00953444"/>
    <w:rsid w:val="00954811"/>
    <w:rsid w:val="00961410"/>
    <w:rsid w:val="009633EF"/>
    <w:rsid w:val="009704CE"/>
    <w:rsid w:val="00970B7F"/>
    <w:rsid w:val="009710EC"/>
    <w:rsid w:val="00971397"/>
    <w:rsid w:val="00973177"/>
    <w:rsid w:val="0097399D"/>
    <w:rsid w:val="00973BAD"/>
    <w:rsid w:val="00975F9C"/>
    <w:rsid w:val="00977801"/>
    <w:rsid w:val="00977A05"/>
    <w:rsid w:val="00980DC5"/>
    <w:rsid w:val="009861E5"/>
    <w:rsid w:val="00986A2C"/>
    <w:rsid w:val="00986C4F"/>
    <w:rsid w:val="00991D43"/>
    <w:rsid w:val="00993447"/>
    <w:rsid w:val="00994672"/>
    <w:rsid w:val="00994FF1"/>
    <w:rsid w:val="009964A7"/>
    <w:rsid w:val="009A0B83"/>
    <w:rsid w:val="009A162C"/>
    <w:rsid w:val="009A6008"/>
    <w:rsid w:val="009A730E"/>
    <w:rsid w:val="009A7A7E"/>
    <w:rsid w:val="009B0DA6"/>
    <w:rsid w:val="009B22DD"/>
    <w:rsid w:val="009B31D3"/>
    <w:rsid w:val="009B4BF8"/>
    <w:rsid w:val="009B73B7"/>
    <w:rsid w:val="009C1E00"/>
    <w:rsid w:val="009C49AD"/>
    <w:rsid w:val="009C5309"/>
    <w:rsid w:val="009C6DA4"/>
    <w:rsid w:val="009C7B31"/>
    <w:rsid w:val="009D2620"/>
    <w:rsid w:val="009D667B"/>
    <w:rsid w:val="009D7595"/>
    <w:rsid w:val="009E1AAA"/>
    <w:rsid w:val="009E5271"/>
    <w:rsid w:val="009E69C7"/>
    <w:rsid w:val="009E75CA"/>
    <w:rsid w:val="009E7F9E"/>
    <w:rsid w:val="009F3B32"/>
    <w:rsid w:val="009F4663"/>
    <w:rsid w:val="009F4813"/>
    <w:rsid w:val="009F63AF"/>
    <w:rsid w:val="009F6786"/>
    <w:rsid w:val="009F6CBD"/>
    <w:rsid w:val="009F75AD"/>
    <w:rsid w:val="009F7E68"/>
    <w:rsid w:val="00A001C5"/>
    <w:rsid w:val="00A01BC8"/>
    <w:rsid w:val="00A03E8A"/>
    <w:rsid w:val="00A10DAF"/>
    <w:rsid w:val="00A13F6F"/>
    <w:rsid w:val="00A15C19"/>
    <w:rsid w:val="00A15D84"/>
    <w:rsid w:val="00A1608F"/>
    <w:rsid w:val="00A172D6"/>
    <w:rsid w:val="00A1751E"/>
    <w:rsid w:val="00A20283"/>
    <w:rsid w:val="00A21284"/>
    <w:rsid w:val="00A2536D"/>
    <w:rsid w:val="00A273DE"/>
    <w:rsid w:val="00A303CE"/>
    <w:rsid w:val="00A31338"/>
    <w:rsid w:val="00A345AB"/>
    <w:rsid w:val="00A34690"/>
    <w:rsid w:val="00A438F4"/>
    <w:rsid w:val="00A519D4"/>
    <w:rsid w:val="00A52400"/>
    <w:rsid w:val="00A527D3"/>
    <w:rsid w:val="00A532F1"/>
    <w:rsid w:val="00A5643E"/>
    <w:rsid w:val="00A609AC"/>
    <w:rsid w:val="00A610FF"/>
    <w:rsid w:val="00A61E07"/>
    <w:rsid w:val="00A62196"/>
    <w:rsid w:val="00A64F90"/>
    <w:rsid w:val="00A67591"/>
    <w:rsid w:val="00A706D6"/>
    <w:rsid w:val="00A71B25"/>
    <w:rsid w:val="00A71B58"/>
    <w:rsid w:val="00A72070"/>
    <w:rsid w:val="00A72350"/>
    <w:rsid w:val="00A73B40"/>
    <w:rsid w:val="00A75436"/>
    <w:rsid w:val="00A77842"/>
    <w:rsid w:val="00A809CC"/>
    <w:rsid w:val="00A81B72"/>
    <w:rsid w:val="00A81EB5"/>
    <w:rsid w:val="00A82FB2"/>
    <w:rsid w:val="00A83033"/>
    <w:rsid w:val="00A86871"/>
    <w:rsid w:val="00A87622"/>
    <w:rsid w:val="00A958A4"/>
    <w:rsid w:val="00AA4F65"/>
    <w:rsid w:val="00AA546F"/>
    <w:rsid w:val="00AA5BAA"/>
    <w:rsid w:val="00AA68DF"/>
    <w:rsid w:val="00AA7CE6"/>
    <w:rsid w:val="00AB0B4C"/>
    <w:rsid w:val="00AB107C"/>
    <w:rsid w:val="00AB4F23"/>
    <w:rsid w:val="00AB4F2E"/>
    <w:rsid w:val="00AC18AF"/>
    <w:rsid w:val="00AC27E1"/>
    <w:rsid w:val="00AC3E3D"/>
    <w:rsid w:val="00AC4144"/>
    <w:rsid w:val="00AC5598"/>
    <w:rsid w:val="00AC61AD"/>
    <w:rsid w:val="00AD1DFB"/>
    <w:rsid w:val="00AD417F"/>
    <w:rsid w:val="00AD43F9"/>
    <w:rsid w:val="00AD4B10"/>
    <w:rsid w:val="00AD525A"/>
    <w:rsid w:val="00AD6DF9"/>
    <w:rsid w:val="00AE0196"/>
    <w:rsid w:val="00AE1D7E"/>
    <w:rsid w:val="00AE2442"/>
    <w:rsid w:val="00AE2614"/>
    <w:rsid w:val="00AE2CE8"/>
    <w:rsid w:val="00AE6A68"/>
    <w:rsid w:val="00AF1B4A"/>
    <w:rsid w:val="00AF4019"/>
    <w:rsid w:val="00AF59F2"/>
    <w:rsid w:val="00B0403B"/>
    <w:rsid w:val="00B0444C"/>
    <w:rsid w:val="00B04A08"/>
    <w:rsid w:val="00B06E50"/>
    <w:rsid w:val="00B06EC8"/>
    <w:rsid w:val="00B105E2"/>
    <w:rsid w:val="00B13535"/>
    <w:rsid w:val="00B16807"/>
    <w:rsid w:val="00B168B2"/>
    <w:rsid w:val="00B17A6D"/>
    <w:rsid w:val="00B20D50"/>
    <w:rsid w:val="00B212B8"/>
    <w:rsid w:val="00B238DF"/>
    <w:rsid w:val="00B23A1C"/>
    <w:rsid w:val="00B24A6F"/>
    <w:rsid w:val="00B24C1B"/>
    <w:rsid w:val="00B24FCF"/>
    <w:rsid w:val="00B267EC"/>
    <w:rsid w:val="00B331DB"/>
    <w:rsid w:val="00B35C9D"/>
    <w:rsid w:val="00B3683B"/>
    <w:rsid w:val="00B403E1"/>
    <w:rsid w:val="00B41A5F"/>
    <w:rsid w:val="00B43982"/>
    <w:rsid w:val="00B45892"/>
    <w:rsid w:val="00B510EB"/>
    <w:rsid w:val="00B53F6D"/>
    <w:rsid w:val="00B5433F"/>
    <w:rsid w:val="00B55668"/>
    <w:rsid w:val="00B559E5"/>
    <w:rsid w:val="00B57CFB"/>
    <w:rsid w:val="00B61457"/>
    <w:rsid w:val="00B627A0"/>
    <w:rsid w:val="00B63699"/>
    <w:rsid w:val="00B652CC"/>
    <w:rsid w:val="00B65C77"/>
    <w:rsid w:val="00B66A93"/>
    <w:rsid w:val="00B67CFE"/>
    <w:rsid w:val="00B717D2"/>
    <w:rsid w:val="00B71C39"/>
    <w:rsid w:val="00B7438E"/>
    <w:rsid w:val="00B77D0E"/>
    <w:rsid w:val="00B850E0"/>
    <w:rsid w:val="00B86167"/>
    <w:rsid w:val="00B86A91"/>
    <w:rsid w:val="00B9145C"/>
    <w:rsid w:val="00B928A9"/>
    <w:rsid w:val="00B94193"/>
    <w:rsid w:val="00B94A6D"/>
    <w:rsid w:val="00B94B80"/>
    <w:rsid w:val="00B94D1B"/>
    <w:rsid w:val="00B97685"/>
    <w:rsid w:val="00BA037C"/>
    <w:rsid w:val="00BA0F23"/>
    <w:rsid w:val="00BA4721"/>
    <w:rsid w:val="00BA62E4"/>
    <w:rsid w:val="00BB3FE5"/>
    <w:rsid w:val="00BB7C51"/>
    <w:rsid w:val="00BC01AA"/>
    <w:rsid w:val="00BC14B6"/>
    <w:rsid w:val="00BD3694"/>
    <w:rsid w:val="00BD54E6"/>
    <w:rsid w:val="00BE0D27"/>
    <w:rsid w:val="00BE334A"/>
    <w:rsid w:val="00BE3E6F"/>
    <w:rsid w:val="00BE52FE"/>
    <w:rsid w:val="00BE5D6A"/>
    <w:rsid w:val="00BE5EAF"/>
    <w:rsid w:val="00BE625E"/>
    <w:rsid w:val="00BE6DF7"/>
    <w:rsid w:val="00BE70D7"/>
    <w:rsid w:val="00BF08B2"/>
    <w:rsid w:val="00BF5284"/>
    <w:rsid w:val="00C036AA"/>
    <w:rsid w:val="00C07FC3"/>
    <w:rsid w:val="00C100D7"/>
    <w:rsid w:val="00C12620"/>
    <w:rsid w:val="00C13FC1"/>
    <w:rsid w:val="00C1412D"/>
    <w:rsid w:val="00C14A19"/>
    <w:rsid w:val="00C16763"/>
    <w:rsid w:val="00C175C0"/>
    <w:rsid w:val="00C22065"/>
    <w:rsid w:val="00C221D9"/>
    <w:rsid w:val="00C2345E"/>
    <w:rsid w:val="00C24503"/>
    <w:rsid w:val="00C25CB8"/>
    <w:rsid w:val="00C26D3F"/>
    <w:rsid w:val="00C2751F"/>
    <w:rsid w:val="00C323AD"/>
    <w:rsid w:val="00C32D29"/>
    <w:rsid w:val="00C35932"/>
    <w:rsid w:val="00C36055"/>
    <w:rsid w:val="00C36E88"/>
    <w:rsid w:val="00C37364"/>
    <w:rsid w:val="00C37B67"/>
    <w:rsid w:val="00C4162C"/>
    <w:rsid w:val="00C418A9"/>
    <w:rsid w:val="00C42364"/>
    <w:rsid w:val="00C42AB4"/>
    <w:rsid w:val="00C4390C"/>
    <w:rsid w:val="00C45095"/>
    <w:rsid w:val="00C455CD"/>
    <w:rsid w:val="00C4725C"/>
    <w:rsid w:val="00C5049C"/>
    <w:rsid w:val="00C5054E"/>
    <w:rsid w:val="00C50717"/>
    <w:rsid w:val="00C507AC"/>
    <w:rsid w:val="00C51F47"/>
    <w:rsid w:val="00C55DBE"/>
    <w:rsid w:val="00C60086"/>
    <w:rsid w:val="00C606EF"/>
    <w:rsid w:val="00C61904"/>
    <w:rsid w:val="00C61E54"/>
    <w:rsid w:val="00C63399"/>
    <w:rsid w:val="00C66325"/>
    <w:rsid w:val="00C67C4B"/>
    <w:rsid w:val="00C7030C"/>
    <w:rsid w:val="00C70AF9"/>
    <w:rsid w:val="00C70B78"/>
    <w:rsid w:val="00C71B32"/>
    <w:rsid w:val="00C71E43"/>
    <w:rsid w:val="00C72E8B"/>
    <w:rsid w:val="00C73F68"/>
    <w:rsid w:val="00C7410D"/>
    <w:rsid w:val="00C76509"/>
    <w:rsid w:val="00C8031F"/>
    <w:rsid w:val="00C80331"/>
    <w:rsid w:val="00C80AAB"/>
    <w:rsid w:val="00C8448D"/>
    <w:rsid w:val="00C857AF"/>
    <w:rsid w:val="00C85D03"/>
    <w:rsid w:val="00C85EFB"/>
    <w:rsid w:val="00C863ED"/>
    <w:rsid w:val="00C91382"/>
    <w:rsid w:val="00C9473D"/>
    <w:rsid w:val="00C949E9"/>
    <w:rsid w:val="00C95546"/>
    <w:rsid w:val="00C95BC2"/>
    <w:rsid w:val="00CA0141"/>
    <w:rsid w:val="00CA4C08"/>
    <w:rsid w:val="00CA4E70"/>
    <w:rsid w:val="00CA5C7E"/>
    <w:rsid w:val="00CA7ABB"/>
    <w:rsid w:val="00CB19FF"/>
    <w:rsid w:val="00CB3CAC"/>
    <w:rsid w:val="00CC04C1"/>
    <w:rsid w:val="00CC0670"/>
    <w:rsid w:val="00CC2E98"/>
    <w:rsid w:val="00CC2F8C"/>
    <w:rsid w:val="00CC3CEC"/>
    <w:rsid w:val="00CC44E0"/>
    <w:rsid w:val="00CC6726"/>
    <w:rsid w:val="00CD0012"/>
    <w:rsid w:val="00CD1BDE"/>
    <w:rsid w:val="00CD22E4"/>
    <w:rsid w:val="00CD2381"/>
    <w:rsid w:val="00CD24A7"/>
    <w:rsid w:val="00CD2FC1"/>
    <w:rsid w:val="00CD3E44"/>
    <w:rsid w:val="00CD4A01"/>
    <w:rsid w:val="00CD6F95"/>
    <w:rsid w:val="00CE228D"/>
    <w:rsid w:val="00CE379C"/>
    <w:rsid w:val="00CE5242"/>
    <w:rsid w:val="00CE6E22"/>
    <w:rsid w:val="00CF027F"/>
    <w:rsid w:val="00CF05CD"/>
    <w:rsid w:val="00CF0992"/>
    <w:rsid w:val="00CF09B6"/>
    <w:rsid w:val="00CF1102"/>
    <w:rsid w:val="00CF1C52"/>
    <w:rsid w:val="00CF54F4"/>
    <w:rsid w:val="00CF5F62"/>
    <w:rsid w:val="00D003AD"/>
    <w:rsid w:val="00D01B57"/>
    <w:rsid w:val="00D07E2D"/>
    <w:rsid w:val="00D1121D"/>
    <w:rsid w:val="00D12665"/>
    <w:rsid w:val="00D129BE"/>
    <w:rsid w:val="00D133F4"/>
    <w:rsid w:val="00D13597"/>
    <w:rsid w:val="00D13707"/>
    <w:rsid w:val="00D17A88"/>
    <w:rsid w:val="00D20B79"/>
    <w:rsid w:val="00D21C7B"/>
    <w:rsid w:val="00D2260D"/>
    <w:rsid w:val="00D231F0"/>
    <w:rsid w:val="00D23B7C"/>
    <w:rsid w:val="00D265A9"/>
    <w:rsid w:val="00D273F7"/>
    <w:rsid w:val="00D31B16"/>
    <w:rsid w:val="00D325CE"/>
    <w:rsid w:val="00D32AB4"/>
    <w:rsid w:val="00D34D4D"/>
    <w:rsid w:val="00D34D6A"/>
    <w:rsid w:val="00D365DC"/>
    <w:rsid w:val="00D413F7"/>
    <w:rsid w:val="00D4196C"/>
    <w:rsid w:val="00D41DD9"/>
    <w:rsid w:val="00D4405C"/>
    <w:rsid w:val="00D45818"/>
    <w:rsid w:val="00D477B9"/>
    <w:rsid w:val="00D50725"/>
    <w:rsid w:val="00D5159B"/>
    <w:rsid w:val="00D539E3"/>
    <w:rsid w:val="00D540DC"/>
    <w:rsid w:val="00D57AF5"/>
    <w:rsid w:val="00D60636"/>
    <w:rsid w:val="00D607E6"/>
    <w:rsid w:val="00D609BE"/>
    <w:rsid w:val="00D63667"/>
    <w:rsid w:val="00D66177"/>
    <w:rsid w:val="00D7096D"/>
    <w:rsid w:val="00D74FBA"/>
    <w:rsid w:val="00D76010"/>
    <w:rsid w:val="00D7770A"/>
    <w:rsid w:val="00D82090"/>
    <w:rsid w:val="00D83AFF"/>
    <w:rsid w:val="00D863E8"/>
    <w:rsid w:val="00D865DC"/>
    <w:rsid w:val="00D86A73"/>
    <w:rsid w:val="00D903C3"/>
    <w:rsid w:val="00D92452"/>
    <w:rsid w:val="00D9479C"/>
    <w:rsid w:val="00D94D30"/>
    <w:rsid w:val="00D95782"/>
    <w:rsid w:val="00DA019C"/>
    <w:rsid w:val="00DA148D"/>
    <w:rsid w:val="00DA36FF"/>
    <w:rsid w:val="00DA437D"/>
    <w:rsid w:val="00DA56CD"/>
    <w:rsid w:val="00DA5BF0"/>
    <w:rsid w:val="00DA7A79"/>
    <w:rsid w:val="00DB1187"/>
    <w:rsid w:val="00DB1FF0"/>
    <w:rsid w:val="00DB31BC"/>
    <w:rsid w:val="00DB3A79"/>
    <w:rsid w:val="00DB4311"/>
    <w:rsid w:val="00DB493D"/>
    <w:rsid w:val="00DC0499"/>
    <w:rsid w:val="00DC3A9A"/>
    <w:rsid w:val="00DC3AC3"/>
    <w:rsid w:val="00DC419B"/>
    <w:rsid w:val="00DD400A"/>
    <w:rsid w:val="00DD53D0"/>
    <w:rsid w:val="00DD6135"/>
    <w:rsid w:val="00DD7FBD"/>
    <w:rsid w:val="00DE4DB4"/>
    <w:rsid w:val="00DE6E86"/>
    <w:rsid w:val="00DF04FE"/>
    <w:rsid w:val="00DF0915"/>
    <w:rsid w:val="00DF0BDA"/>
    <w:rsid w:val="00DF1120"/>
    <w:rsid w:val="00DF1BB2"/>
    <w:rsid w:val="00DF5813"/>
    <w:rsid w:val="00DF6C87"/>
    <w:rsid w:val="00DF7961"/>
    <w:rsid w:val="00E0161C"/>
    <w:rsid w:val="00E024CA"/>
    <w:rsid w:val="00E02591"/>
    <w:rsid w:val="00E04E5D"/>
    <w:rsid w:val="00E05E98"/>
    <w:rsid w:val="00E06BF4"/>
    <w:rsid w:val="00E06DA6"/>
    <w:rsid w:val="00E1157F"/>
    <w:rsid w:val="00E11C4D"/>
    <w:rsid w:val="00E12126"/>
    <w:rsid w:val="00E14C09"/>
    <w:rsid w:val="00E16811"/>
    <w:rsid w:val="00E16A27"/>
    <w:rsid w:val="00E21BFF"/>
    <w:rsid w:val="00E22ADB"/>
    <w:rsid w:val="00E239C3"/>
    <w:rsid w:val="00E245D3"/>
    <w:rsid w:val="00E26520"/>
    <w:rsid w:val="00E27985"/>
    <w:rsid w:val="00E3003D"/>
    <w:rsid w:val="00E319FE"/>
    <w:rsid w:val="00E325CA"/>
    <w:rsid w:val="00E33092"/>
    <w:rsid w:val="00E33E6B"/>
    <w:rsid w:val="00E351AE"/>
    <w:rsid w:val="00E405DA"/>
    <w:rsid w:val="00E40CAC"/>
    <w:rsid w:val="00E41CBC"/>
    <w:rsid w:val="00E42968"/>
    <w:rsid w:val="00E4298C"/>
    <w:rsid w:val="00E445BB"/>
    <w:rsid w:val="00E460E2"/>
    <w:rsid w:val="00E46893"/>
    <w:rsid w:val="00E50CCD"/>
    <w:rsid w:val="00E5219E"/>
    <w:rsid w:val="00E52DBF"/>
    <w:rsid w:val="00E53C89"/>
    <w:rsid w:val="00E54F6C"/>
    <w:rsid w:val="00E559D4"/>
    <w:rsid w:val="00E56B0C"/>
    <w:rsid w:val="00E57CF3"/>
    <w:rsid w:val="00E6063A"/>
    <w:rsid w:val="00E61E58"/>
    <w:rsid w:val="00E64D77"/>
    <w:rsid w:val="00E652C9"/>
    <w:rsid w:val="00E65748"/>
    <w:rsid w:val="00E661BA"/>
    <w:rsid w:val="00E66678"/>
    <w:rsid w:val="00E72887"/>
    <w:rsid w:val="00E72EBA"/>
    <w:rsid w:val="00E7497D"/>
    <w:rsid w:val="00E750C8"/>
    <w:rsid w:val="00E75B1B"/>
    <w:rsid w:val="00E76081"/>
    <w:rsid w:val="00E77C5A"/>
    <w:rsid w:val="00E8274D"/>
    <w:rsid w:val="00E8363F"/>
    <w:rsid w:val="00E84AC7"/>
    <w:rsid w:val="00E87678"/>
    <w:rsid w:val="00E90F5A"/>
    <w:rsid w:val="00E91220"/>
    <w:rsid w:val="00E96A04"/>
    <w:rsid w:val="00E97A34"/>
    <w:rsid w:val="00EA15D2"/>
    <w:rsid w:val="00EA2F85"/>
    <w:rsid w:val="00EA3E81"/>
    <w:rsid w:val="00EA5658"/>
    <w:rsid w:val="00EA5C85"/>
    <w:rsid w:val="00EB1283"/>
    <w:rsid w:val="00EB26A8"/>
    <w:rsid w:val="00EB3787"/>
    <w:rsid w:val="00EB44C2"/>
    <w:rsid w:val="00EB5C30"/>
    <w:rsid w:val="00EC0BFD"/>
    <w:rsid w:val="00EC19A8"/>
    <w:rsid w:val="00EC2745"/>
    <w:rsid w:val="00EC6EA1"/>
    <w:rsid w:val="00EC725B"/>
    <w:rsid w:val="00ED0A1D"/>
    <w:rsid w:val="00ED2648"/>
    <w:rsid w:val="00ED2773"/>
    <w:rsid w:val="00ED43C4"/>
    <w:rsid w:val="00ED7172"/>
    <w:rsid w:val="00EE40D4"/>
    <w:rsid w:val="00EE50A2"/>
    <w:rsid w:val="00EE652A"/>
    <w:rsid w:val="00EE74AD"/>
    <w:rsid w:val="00EE7C58"/>
    <w:rsid w:val="00EF0B39"/>
    <w:rsid w:val="00EF13BF"/>
    <w:rsid w:val="00EF219E"/>
    <w:rsid w:val="00EF291F"/>
    <w:rsid w:val="00EF2BB6"/>
    <w:rsid w:val="00EF4E04"/>
    <w:rsid w:val="00EF5775"/>
    <w:rsid w:val="00EF6888"/>
    <w:rsid w:val="00F00526"/>
    <w:rsid w:val="00F01DCB"/>
    <w:rsid w:val="00F04FE3"/>
    <w:rsid w:val="00F0571A"/>
    <w:rsid w:val="00F0641C"/>
    <w:rsid w:val="00F06476"/>
    <w:rsid w:val="00F068A4"/>
    <w:rsid w:val="00F10640"/>
    <w:rsid w:val="00F151C6"/>
    <w:rsid w:val="00F20D64"/>
    <w:rsid w:val="00F20F56"/>
    <w:rsid w:val="00F22A22"/>
    <w:rsid w:val="00F23104"/>
    <w:rsid w:val="00F23B84"/>
    <w:rsid w:val="00F24128"/>
    <w:rsid w:val="00F24E70"/>
    <w:rsid w:val="00F267D1"/>
    <w:rsid w:val="00F26BD3"/>
    <w:rsid w:val="00F302EF"/>
    <w:rsid w:val="00F30E55"/>
    <w:rsid w:val="00F330CD"/>
    <w:rsid w:val="00F358FF"/>
    <w:rsid w:val="00F36A9D"/>
    <w:rsid w:val="00F4039D"/>
    <w:rsid w:val="00F42B11"/>
    <w:rsid w:val="00F4393B"/>
    <w:rsid w:val="00F43E01"/>
    <w:rsid w:val="00F441D3"/>
    <w:rsid w:val="00F44F86"/>
    <w:rsid w:val="00F45554"/>
    <w:rsid w:val="00F529AE"/>
    <w:rsid w:val="00F53237"/>
    <w:rsid w:val="00F53A90"/>
    <w:rsid w:val="00F56FC6"/>
    <w:rsid w:val="00F57057"/>
    <w:rsid w:val="00F60509"/>
    <w:rsid w:val="00F62345"/>
    <w:rsid w:val="00F6309A"/>
    <w:rsid w:val="00F65949"/>
    <w:rsid w:val="00F65E31"/>
    <w:rsid w:val="00F666B4"/>
    <w:rsid w:val="00F71F9D"/>
    <w:rsid w:val="00F7538C"/>
    <w:rsid w:val="00F80B6C"/>
    <w:rsid w:val="00F86C10"/>
    <w:rsid w:val="00F87ABD"/>
    <w:rsid w:val="00F90D05"/>
    <w:rsid w:val="00F91108"/>
    <w:rsid w:val="00F915EE"/>
    <w:rsid w:val="00F93B3A"/>
    <w:rsid w:val="00F93CAE"/>
    <w:rsid w:val="00F94884"/>
    <w:rsid w:val="00F97C64"/>
    <w:rsid w:val="00F97FB6"/>
    <w:rsid w:val="00FA2522"/>
    <w:rsid w:val="00FA3D17"/>
    <w:rsid w:val="00FA42B2"/>
    <w:rsid w:val="00FA4627"/>
    <w:rsid w:val="00FA7EFA"/>
    <w:rsid w:val="00FB1862"/>
    <w:rsid w:val="00FB2E3C"/>
    <w:rsid w:val="00FB3CDF"/>
    <w:rsid w:val="00FB4B5D"/>
    <w:rsid w:val="00FB5BE5"/>
    <w:rsid w:val="00FB6F75"/>
    <w:rsid w:val="00FB7958"/>
    <w:rsid w:val="00FC1C1D"/>
    <w:rsid w:val="00FC28AD"/>
    <w:rsid w:val="00FC2BC1"/>
    <w:rsid w:val="00FC4262"/>
    <w:rsid w:val="00FC42F2"/>
    <w:rsid w:val="00FC6DF7"/>
    <w:rsid w:val="00FC6F2E"/>
    <w:rsid w:val="00FC714A"/>
    <w:rsid w:val="00FC7B67"/>
    <w:rsid w:val="00FD000A"/>
    <w:rsid w:val="00FD12B3"/>
    <w:rsid w:val="00FD14C1"/>
    <w:rsid w:val="00FD1664"/>
    <w:rsid w:val="00FD18BA"/>
    <w:rsid w:val="00FD2C8C"/>
    <w:rsid w:val="00FD5F33"/>
    <w:rsid w:val="00FD6404"/>
    <w:rsid w:val="00FD76CA"/>
    <w:rsid w:val="00FE19BA"/>
    <w:rsid w:val="00FE2D5B"/>
    <w:rsid w:val="00FE45CA"/>
    <w:rsid w:val="00FE48FB"/>
    <w:rsid w:val="00FE4D8F"/>
    <w:rsid w:val="00FE5D34"/>
    <w:rsid w:val="00FE704A"/>
    <w:rsid w:val="00FF00EB"/>
    <w:rsid w:val="00FF08FE"/>
    <w:rsid w:val="00FF1A4D"/>
    <w:rsid w:val="00FF3D15"/>
    <w:rsid w:val="00FF3E29"/>
    <w:rsid w:val="00FF48DA"/>
    <w:rsid w:val="00FF528A"/>
    <w:rsid w:val="00FF565A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80E479-5621-4A16-B49D-91C21C3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E3B30"/>
    <w:pPr>
      <w:keepNext/>
      <w:outlineLvl w:val="0"/>
    </w:pPr>
    <w:rPr>
      <w:rFonts w:ascii="Arial" w:hAnsi="Arial"/>
      <w:b/>
      <w:sz w:val="22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6E3B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E3B30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6E3B30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E3B30"/>
    <w:pPr>
      <w:jc w:val="center"/>
    </w:pPr>
    <w:rPr>
      <w:rFonts w:ascii="Arial" w:hAnsi="Arial"/>
      <w:b/>
      <w:sz w:val="22"/>
      <w:u w:val="singl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3B3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Sangradetextonormal">
    <w:name w:val="Body Text Indent"/>
    <w:basedOn w:val="Normal"/>
    <w:link w:val="SangradetextonormalCar"/>
    <w:rsid w:val="006E3B30"/>
    <w:pPr>
      <w:ind w:firstLine="1418"/>
    </w:pPr>
    <w:rPr>
      <w:rFonts w:ascii="Arial" w:hAnsi="Arial"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E3B30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99"/>
    <w:qFormat/>
    <w:rsid w:val="006E3B30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rsid w:val="006E3B3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E3B3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6E3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E3B3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75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E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75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E8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rsid w:val="00A723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2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36500245161663"/>
          <c:y val="6.1611165791776022E-2"/>
          <c:w val="0.81384182746387468"/>
          <c:h val="0.67870680227471558"/>
        </c:manualLayout>
      </c:layout>
      <c:lineChart>
        <c:grouping val="standard"/>
        <c:varyColors val="0"/>
        <c:ser>
          <c:idx val="4"/>
          <c:order val="0"/>
          <c:tx>
            <c:strRef>
              <c:f>'[Canales endémicos Cesca.xls]Consolidado menores de 15'!$K$2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triangle"/>
            <c:size val="2"/>
            <c:spPr>
              <a:noFill/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'[Canales endémicos Cesca.xls]Consolidado menores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Cesca.xls]Consolidado menores de 15'!$K$3:$K$54</c:f>
              <c:numCache>
                <c:formatCode>General</c:formatCode>
                <c:ptCount val="52"/>
                <c:pt idx="0">
                  <c:v>10</c:v>
                </c:pt>
                <c:pt idx="1">
                  <c:v>17</c:v>
                </c:pt>
                <c:pt idx="2">
                  <c:v>11</c:v>
                </c:pt>
                <c:pt idx="3">
                  <c:v>17</c:v>
                </c:pt>
                <c:pt idx="4">
                  <c:v>12</c:v>
                </c:pt>
                <c:pt idx="5">
                  <c:v>10</c:v>
                </c:pt>
                <c:pt idx="6">
                  <c:v>10</c:v>
                </c:pt>
                <c:pt idx="7">
                  <c:v>3</c:v>
                </c:pt>
                <c:pt idx="8">
                  <c:v>2</c:v>
                </c:pt>
                <c:pt idx="9">
                  <c:v>18</c:v>
                </c:pt>
                <c:pt idx="10">
                  <c:v>20</c:v>
                </c:pt>
                <c:pt idx="11">
                  <c:v>9</c:v>
                </c:pt>
                <c:pt idx="12">
                  <c:v>9</c:v>
                </c:pt>
                <c:pt idx="13">
                  <c:v>18</c:v>
                </c:pt>
                <c:pt idx="14">
                  <c:v>31</c:v>
                </c:pt>
                <c:pt idx="15">
                  <c:v>28</c:v>
                </c:pt>
                <c:pt idx="16">
                  <c:v>19</c:v>
                </c:pt>
                <c:pt idx="17">
                  <c:v>37</c:v>
                </c:pt>
                <c:pt idx="18">
                  <c:v>41</c:v>
                </c:pt>
                <c:pt idx="19">
                  <c:v>34</c:v>
                </c:pt>
                <c:pt idx="20">
                  <c:v>64</c:v>
                </c:pt>
                <c:pt idx="21">
                  <c:v>48</c:v>
                </c:pt>
                <c:pt idx="22">
                  <c:v>58</c:v>
                </c:pt>
                <c:pt idx="23">
                  <c:v>70</c:v>
                </c:pt>
                <c:pt idx="24">
                  <c:v>86</c:v>
                </c:pt>
                <c:pt idx="25">
                  <c:v>56</c:v>
                </c:pt>
                <c:pt idx="26">
                  <c:v>97</c:v>
                </c:pt>
                <c:pt idx="27">
                  <c:v>49</c:v>
                </c:pt>
                <c:pt idx="28">
                  <c:v>55</c:v>
                </c:pt>
                <c:pt idx="29">
                  <c:v>49</c:v>
                </c:pt>
                <c:pt idx="30">
                  <c:v>65</c:v>
                </c:pt>
                <c:pt idx="31">
                  <c:v>75</c:v>
                </c:pt>
                <c:pt idx="32">
                  <c:v>62</c:v>
                </c:pt>
                <c:pt idx="33">
                  <c:v>64</c:v>
                </c:pt>
                <c:pt idx="34">
                  <c:v>68</c:v>
                </c:pt>
                <c:pt idx="35">
                  <c:v>70</c:v>
                </c:pt>
                <c:pt idx="36">
                  <c:v>62</c:v>
                </c:pt>
                <c:pt idx="37">
                  <c:v>23</c:v>
                </c:pt>
                <c:pt idx="38">
                  <c:v>56</c:v>
                </c:pt>
                <c:pt idx="39">
                  <c:v>46</c:v>
                </c:pt>
                <c:pt idx="40">
                  <c:v>40</c:v>
                </c:pt>
                <c:pt idx="41">
                  <c:v>28</c:v>
                </c:pt>
                <c:pt idx="42">
                  <c:v>21</c:v>
                </c:pt>
                <c:pt idx="43">
                  <c:v>16</c:v>
                </c:pt>
                <c:pt idx="44">
                  <c:v>10</c:v>
                </c:pt>
                <c:pt idx="45">
                  <c:v>2</c:v>
                </c:pt>
                <c:pt idx="46">
                  <c:v>18</c:v>
                </c:pt>
                <c:pt idx="47">
                  <c:v>18</c:v>
                </c:pt>
                <c:pt idx="48">
                  <c:v>20</c:v>
                </c:pt>
                <c:pt idx="49">
                  <c:v>17</c:v>
                </c:pt>
                <c:pt idx="50">
                  <c:v>3</c:v>
                </c:pt>
                <c:pt idx="51">
                  <c:v>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'[Canales endémicos Cesca.xls]Consolidado menores de 15'!$L$2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'[Canales endémicos Cesca.xls]Consolidado menores de 15'!$L$3:$L$54</c:f>
              <c:numCache>
                <c:formatCode>General</c:formatCode>
                <c:ptCount val="52"/>
                <c:pt idx="0">
                  <c:v>8</c:v>
                </c:pt>
                <c:pt idx="1">
                  <c:v>17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4</c:v>
                </c:pt>
                <c:pt idx="6">
                  <c:v>11</c:v>
                </c:pt>
                <c:pt idx="7">
                  <c:v>19</c:v>
                </c:pt>
                <c:pt idx="8">
                  <c:v>9</c:v>
                </c:pt>
                <c:pt idx="9">
                  <c:v>3</c:v>
                </c:pt>
                <c:pt idx="10">
                  <c:v>24</c:v>
                </c:pt>
                <c:pt idx="11">
                  <c:v>32</c:v>
                </c:pt>
                <c:pt idx="12">
                  <c:v>24</c:v>
                </c:pt>
                <c:pt idx="13">
                  <c:v>30</c:v>
                </c:pt>
                <c:pt idx="14">
                  <c:v>22</c:v>
                </c:pt>
                <c:pt idx="15">
                  <c:v>33</c:v>
                </c:pt>
                <c:pt idx="16">
                  <c:v>6</c:v>
                </c:pt>
                <c:pt idx="17">
                  <c:v>34</c:v>
                </c:pt>
                <c:pt idx="18">
                  <c:v>45</c:v>
                </c:pt>
                <c:pt idx="19">
                  <c:v>62</c:v>
                </c:pt>
                <c:pt idx="20">
                  <c:v>69</c:v>
                </c:pt>
                <c:pt idx="21">
                  <c:v>37</c:v>
                </c:pt>
                <c:pt idx="22">
                  <c:v>41</c:v>
                </c:pt>
                <c:pt idx="23">
                  <c:v>100</c:v>
                </c:pt>
                <c:pt idx="24">
                  <c:v>91</c:v>
                </c:pt>
                <c:pt idx="25">
                  <c:v>35</c:v>
                </c:pt>
                <c:pt idx="26">
                  <c:v>78</c:v>
                </c:pt>
                <c:pt idx="27">
                  <c:v>93</c:v>
                </c:pt>
                <c:pt idx="28">
                  <c:v>90</c:v>
                </c:pt>
                <c:pt idx="29">
                  <c:v>63</c:v>
                </c:pt>
                <c:pt idx="30">
                  <c:v>59</c:v>
                </c:pt>
                <c:pt idx="31">
                  <c:v>55</c:v>
                </c:pt>
                <c:pt idx="32">
                  <c:v>61</c:v>
                </c:pt>
                <c:pt idx="33">
                  <c:v>42</c:v>
                </c:pt>
                <c:pt idx="34">
                  <c:v>50</c:v>
                </c:pt>
                <c:pt idx="35">
                  <c:v>40</c:v>
                </c:pt>
                <c:pt idx="36">
                  <c:v>60</c:v>
                </c:pt>
                <c:pt idx="37">
                  <c:v>31</c:v>
                </c:pt>
                <c:pt idx="38">
                  <c:v>19</c:v>
                </c:pt>
                <c:pt idx="39">
                  <c:v>19</c:v>
                </c:pt>
                <c:pt idx="40">
                  <c:v>25</c:v>
                </c:pt>
                <c:pt idx="41">
                  <c:v>33</c:v>
                </c:pt>
                <c:pt idx="42">
                  <c:v>15</c:v>
                </c:pt>
                <c:pt idx="43">
                  <c:v>16</c:v>
                </c:pt>
                <c:pt idx="44">
                  <c:v>19</c:v>
                </c:pt>
                <c:pt idx="45">
                  <c:v>21</c:v>
                </c:pt>
                <c:pt idx="46">
                  <c:v>10</c:v>
                </c:pt>
                <c:pt idx="47">
                  <c:v>27</c:v>
                </c:pt>
                <c:pt idx="48">
                  <c:v>27</c:v>
                </c:pt>
                <c:pt idx="49">
                  <c:v>7</c:v>
                </c:pt>
                <c:pt idx="50">
                  <c:v>4</c:v>
                </c:pt>
                <c:pt idx="51">
                  <c:v>4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'[Canales endémicos Cesca.xls]Consolidado menores de 15'!$M$2</c:f>
              <c:strCache>
                <c:ptCount val="1"/>
                <c:pt idx="0">
                  <c:v>2018</c:v>
                </c:pt>
              </c:strCache>
            </c:strRef>
          </c:tx>
          <c:spPr>
            <a:ln w="25400"/>
          </c:spPr>
          <c:marker>
            <c:symbol val="triangle"/>
            <c:size val="2"/>
          </c:marker>
          <c:val>
            <c:numRef>
              <c:f>'[Canales endémicos Cesca.xls]Consolidado menores de 15'!$M$3:$M$24</c:f>
              <c:numCache>
                <c:formatCode>General</c:formatCode>
                <c:ptCount val="22"/>
                <c:pt idx="0">
                  <c:v>0</c:v>
                </c:pt>
                <c:pt idx="1">
                  <c:v>17</c:v>
                </c:pt>
                <c:pt idx="2">
                  <c:v>15</c:v>
                </c:pt>
                <c:pt idx="3">
                  <c:v>14</c:v>
                </c:pt>
                <c:pt idx="4">
                  <c:v>12</c:v>
                </c:pt>
                <c:pt idx="5">
                  <c:v>7</c:v>
                </c:pt>
                <c:pt idx="6">
                  <c:v>20</c:v>
                </c:pt>
                <c:pt idx="7">
                  <c:v>10</c:v>
                </c:pt>
                <c:pt idx="8">
                  <c:v>8</c:v>
                </c:pt>
                <c:pt idx="9">
                  <c:v>13</c:v>
                </c:pt>
                <c:pt idx="10">
                  <c:v>32</c:v>
                </c:pt>
                <c:pt idx="11">
                  <c:v>40</c:v>
                </c:pt>
                <c:pt idx="12">
                  <c:v>24</c:v>
                </c:pt>
                <c:pt idx="13">
                  <c:v>34</c:v>
                </c:pt>
                <c:pt idx="14">
                  <c:v>41</c:v>
                </c:pt>
                <c:pt idx="15">
                  <c:v>50</c:v>
                </c:pt>
                <c:pt idx="16">
                  <c:v>45</c:v>
                </c:pt>
                <c:pt idx="17">
                  <c:v>37</c:v>
                </c:pt>
                <c:pt idx="18">
                  <c:v>31</c:v>
                </c:pt>
                <c:pt idx="19">
                  <c:v>41</c:v>
                </c:pt>
                <c:pt idx="20">
                  <c:v>27</c:v>
                </c:pt>
                <c:pt idx="21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9190400"/>
        <c:axId val="559189616"/>
      </c:lineChart>
      <c:catAx>
        <c:axId val="559190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L"/>
          </a:p>
        </c:txPr>
        <c:crossAx val="55918961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59189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L"/>
          </a:p>
        </c:txPr>
        <c:crossAx val="55919040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7943941642269249"/>
          <c:y val="0.90600431826755601"/>
          <c:w val="0.49521689596492746"/>
          <c:h val="7.5229385389326331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3175">
      <a:solidFill>
        <a:schemeClr val="tx1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396370868866307E-2"/>
          <c:y val="3.6596671982192984E-2"/>
          <c:w val="0.81503964253603245"/>
          <c:h val="0.89308369047025793"/>
        </c:manualLayout>
      </c:layout>
      <c:areaChart>
        <c:grouping val="standard"/>
        <c:varyColors val="0"/>
        <c:ser>
          <c:idx val="1"/>
          <c:order val="0"/>
          <c:tx>
            <c:v>2014</c:v>
          </c:tx>
          <c:val>
            <c:numRef>
              <c:f>'2014'!$I$2:$I$53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4</c:v>
                </c:pt>
                <c:pt idx="23">
                  <c:v>1</c:v>
                </c:pt>
                <c:pt idx="24">
                  <c:v>1</c:v>
                </c:pt>
                <c:pt idx="25">
                  <c:v>8</c:v>
                </c:pt>
                <c:pt idx="26">
                  <c:v>11</c:v>
                </c:pt>
                <c:pt idx="27">
                  <c:v>13</c:v>
                </c:pt>
                <c:pt idx="28">
                  <c:v>17</c:v>
                </c:pt>
                <c:pt idx="29">
                  <c:v>12</c:v>
                </c:pt>
                <c:pt idx="30">
                  <c:v>10</c:v>
                </c:pt>
                <c:pt idx="31">
                  <c:v>10</c:v>
                </c:pt>
                <c:pt idx="32">
                  <c:v>6</c:v>
                </c:pt>
                <c:pt idx="33">
                  <c:v>13</c:v>
                </c:pt>
                <c:pt idx="34">
                  <c:v>8</c:v>
                </c:pt>
                <c:pt idx="35">
                  <c:v>5</c:v>
                </c:pt>
                <c:pt idx="36">
                  <c:v>12</c:v>
                </c:pt>
                <c:pt idx="37">
                  <c:v>3</c:v>
                </c:pt>
                <c:pt idx="38">
                  <c:v>3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2"/>
          <c:order val="1"/>
          <c:tx>
            <c:v>2015</c:v>
          </c:tx>
          <c:val>
            <c:numRef>
              <c:f>'2015'!$I$2:$I$53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3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4</c:v>
                </c:pt>
                <c:pt idx="26">
                  <c:v>6</c:v>
                </c:pt>
                <c:pt idx="27">
                  <c:v>6</c:v>
                </c:pt>
                <c:pt idx="28">
                  <c:v>11</c:v>
                </c:pt>
                <c:pt idx="29">
                  <c:v>7</c:v>
                </c:pt>
                <c:pt idx="30">
                  <c:v>11</c:v>
                </c:pt>
                <c:pt idx="31">
                  <c:v>10</c:v>
                </c:pt>
                <c:pt idx="32">
                  <c:v>16</c:v>
                </c:pt>
                <c:pt idx="33">
                  <c:v>9</c:v>
                </c:pt>
                <c:pt idx="34">
                  <c:v>5</c:v>
                </c:pt>
                <c:pt idx="35">
                  <c:v>4</c:v>
                </c:pt>
                <c:pt idx="36">
                  <c:v>4</c:v>
                </c:pt>
                <c:pt idx="37">
                  <c:v>2</c:v>
                </c:pt>
                <c:pt idx="38">
                  <c:v>7</c:v>
                </c:pt>
                <c:pt idx="39">
                  <c:v>3</c:v>
                </c:pt>
                <c:pt idx="40">
                  <c:v>2</c:v>
                </c:pt>
                <c:pt idx="41">
                  <c:v>1</c:v>
                </c:pt>
                <c:pt idx="42">
                  <c:v>3</c:v>
                </c:pt>
                <c:pt idx="43">
                  <c:v>1</c:v>
                </c:pt>
                <c:pt idx="44">
                  <c:v>3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3"/>
          <c:order val="2"/>
          <c:tx>
            <c:v>2016</c:v>
          </c:tx>
          <c:spPr>
            <a:solidFill>
              <a:srgbClr val="FFFF00"/>
            </a:solidFill>
          </c:spPr>
          <c:val>
            <c:numRef>
              <c:f>'2016'!$I$2:$I$53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4</c:v>
                </c:pt>
                <c:pt idx="24">
                  <c:v>1</c:v>
                </c:pt>
                <c:pt idx="25">
                  <c:v>0</c:v>
                </c:pt>
                <c:pt idx="26">
                  <c:v>7</c:v>
                </c:pt>
                <c:pt idx="27">
                  <c:v>7</c:v>
                </c:pt>
                <c:pt idx="28">
                  <c:v>11</c:v>
                </c:pt>
                <c:pt idx="29">
                  <c:v>8</c:v>
                </c:pt>
                <c:pt idx="30">
                  <c:v>4</c:v>
                </c:pt>
                <c:pt idx="31">
                  <c:v>9</c:v>
                </c:pt>
                <c:pt idx="32">
                  <c:v>13</c:v>
                </c:pt>
                <c:pt idx="33">
                  <c:v>6</c:v>
                </c:pt>
                <c:pt idx="34">
                  <c:v>5</c:v>
                </c:pt>
                <c:pt idx="35">
                  <c:v>2</c:v>
                </c:pt>
                <c:pt idx="36">
                  <c:v>3</c:v>
                </c:pt>
                <c:pt idx="37">
                  <c:v>1</c:v>
                </c:pt>
                <c:pt idx="38">
                  <c:v>1</c:v>
                </c:pt>
                <c:pt idx="39">
                  <c:v>0</c:v>
                </c:pt>
                <c:pt idx="40">
                  <c:v>1</c:v>
                </c:pt>
                <c:pt idx="41">
                  <c:v>0</c:v>
                </c:pt>
                <c:pt idx="42">
                  <c:v>1</c:v>
                </c:pt>
                <c:pt idx="43">
                  <c:v>2</c:v>
                </c:pt>
                <c:pt idx="44">
                  <c:v>0</c:v>
                </c:pt>
                <c:pt idx="45">
                  <c:v>1</c:v>
                </c:pt>
                <c:pt idx="46">
                  <c:v>1</c:v>
                </c:pt>
                <c:pt idx="47">
                  <c:v>0</c:v>
                </c:pt>
                <c:pt idx="48">
                  <c:v>0</c:v>
                </c:pt>
                <c:pt idx="49">
                  <c:v>1</c:v>
                </c:pt>
                <c:pt idx="50">
                  <c:v>0</c:v>
                </c:pt>
                <c:pt idx="51">
                  <c:v>0</c:v>
                </c:pt>
              </c:numCache>
            </c:numRef>
          </c:val>
        </c:ser>
        <c:ser>
          <c:idx val="0"/>
          <c:order val="3"/>
          <c:tx>
            <c:v>2017</c:v>
          </c:tx>
          <c:val>
            <c:numRef>
              <c:f>'2017'!$I$2:$I$53</c:f>
              <c:numCache>
                <c:formatCode>General</c:formatCode>
                <c:ptCount val="5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2</c:v>
                </c:pt>
                <c:pt idx="23">
                  <c:v>14</c:v>
                </c:pt>
                <c:pt idx="24">
                  <c:v>4</c:v>
                </c:pt>
                <c:pt idx="25">
                  <c:v>6</c:v>
                </c:pt>
                <c:pt idx="26">
                  <c:v>8</c:v>
                </c:pt>
                <c:pt idx="27">
                  <c:v>8</c:v>
                </c:pt>
                <c:pt idx="28">
                  <c:v>9</c:v>
                </c:pt>
                <c:pt idx="29">
                  <c:v>7</c:v>
                </c:pt>
                <c:pt idx="30">
                  <c:v>5</c:v>
                </c:pt>
                <c:pt idx="31">
                  <c:v>4</c:v>
                </c:pt>
                <c:pt idx="32">
                  <c:v>8</c:v>
                </c:pt>
                <c:pt idx="33">
                  <c:v>4</c:v>
                </c:pt>
                <c:pt idx="34">
                  <c:v>2</c:v>
                </c:pt>
                <c:pt idx="35">
                  <c:v>2</c:v>
                </c:pt>
                <c:pt idx="36">
                  <c:v>1</c:v>
                </c:pt>
                <c:pt idx="37">
                  <c:v>0</c:v>
                </c:pt>
                <c:pt idx="38">
                  <c:v>7</c:v>
                </c:pt>
                <c:pt idx="39">
                  <c:v>2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1</c:v>
                </c:pt>
                <c:pt idx="51">
                  <c:v>1</c:v>
                </c:pt>
              </c:numCache>
            </c:numRef>
          </c:val>
        </c:ser>
        <c:ser>
          <c:idx val="4"/>
          <c:order val="4"/>
          <c:tx>
            <c:v>2018</c:v>
          </c:tx>
          <c:val>
            <c:numRef>
              <c:f>'2018'!$I$2:$I$22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7773104"/>
        <c:axId val="602184168"/>
      </c:areaChart>
      <c:catAx>
        <c:axId val="487773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s-CL"/>
          </a:p>
        </c:txPr>
        <c:crossAx val="602184168"/>
        <c:crosses val="autoZero"/>
        <c:auto val="1"/>
        <c:lblAlgn val="ctr"/>
        <c:lblOffset val="100"/>
        <c:noMultiLvlLbl val="0"/>
      </c:catAx>
      <c:valAx>
        <c:axId val="602184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77731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826086956521744E-2"/>
          <c:y val="4.9230769230769231E-2"/>
          <c:w val="0.88052457789126104"/>
          <c:h val="0.60892751613595464"/>
        </c:manualLayout>
      </c:layout>
      <c:lineChart>
        <c:grouping val="standard"/>
        <c:varyColors val="0"/>
        <c:ser>
          <c:idx val="4"/>
          <c:order val="0"/>
          <c:tx>
            <c:strRef>
              <c:f>'[Canales endémicos Cesca.xls]Consolidado mayores de 15 '!$K$2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7030A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'[Canales endémicos Cesca.xls]Consolidado mayores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Cesca.xls]Consolidado mayores de 15 '!$K$3:$K$54</c:f>
              <c:numCache>
                <c:formatCode>General</c:formatCode>
                <c:ptCount val="52"/>
                <c:pt idx="0">
                  <c:v>25</c:v>
                </c:pt>
                <c:pt idx="1">
                  <c:v>30</c:v>
                </c:pt>
                <c:pt idx="2">
                  <c:v>21</c:v>
                </c:pt>
                <c:pt idx="3">
                  <c:v>17</c:v>
                </c:pt>
                <c:pt idx="4">
                  <c:v>8</c:v>
                </c:pt>
                <c:pt idx="5">
                  <c:v>19</c:v>
                </c:pt>
                <c:pt idx="6">
                  <c:v>19</c:v>
                </c:pt>
                <c:pt idx="7">
                  <c:v>12</c:v>
                </c:pt>
                <c:pt idx="8">
                  <c:v>8</c:v>
                </c:pt>
                <c:pt idx="9">
                  <c:v>12</c:v>
                </c:pt>
                <c:pt idx="10">
                  <c:v>7</c:v>
                </c:pt>
                <c:pt idx="11">
                  <c:v>3</c:v>
                </c:pt>
                <c:pt idx="12">
                  <c:v>13</c:v>
                </c:pt>
                <c:pt idx="13">
                  <c:v>9</c:v>
                </c:pt>
                <c:pt idx="14">
                  <c:v>16</c:v>
                </c:pt>
                <c:pt idx="15">
                  <c:v>21</c:v>
                </c:pt>
                <c:pt idx="16">
                  <c:v>22</c:v>
                </c:pt>
                <c:pt idx="17">
                  <c:v>13</c:v>
                </c:pt>
                <c:pt idx="18">
                  <c:v>14</c:v>
                </c:pt>
                <c:pt idx="19">
                  <c:v>12</c:v>
                </c:pt>
                <c:pt idx="20">
                  <c:v>24</c:v>
                </c:pt>
                <c:pt idx="21">
                  <c:v>22</c:v>
                </c:pt>
                <c:pt idx="22">
                  <c:v>27</c:v>
                </c:pt>
                <c:pt idx="23">
                  <c:v>27</c:v>
                </c:pt>
                <c:pt idx="24">
                  <c:v>30</c:v>
                </c:pt>
                <c:pt idx="25">
                  <c:v>21</c:v>
                </c:pt>
                <c:pt idx="26">
                  <c:v>35</c:v>
                </c:pt>
                <c:pt idx="27">
                  <c:v>28</c:v>
                </c:pt>
                <c:pt idx="28">
                  <c:v>60</c:v>
                </c:pt>
                <c:pt idx="29">
                  <c:v>54</c:v>
                </c:pt>
                <c:pt idx="30">
                  <c:v>53</c:v>
                </c:pt>
                <c:pt idx="31">
                  <c:v>46</c:v>
                </c:pt>
                <c:pt idx="32">
                  <c:v>31</c:v>
                </c:pt>
                <c:pt idx="33">
                  <c:v>61</c:v>
                </c:pt>
                <c:pt idx="34">
                  <c:v>45</c:v>
                </c:pt>
                <c:pt idx="35">
                  <c:v>46</c:v>
                </c:pt>
                <c:pt idx="36">
                  <c:v>23</c:v>
                </c:pt>
                <c:pt idx="37">
                  <c:v>22</c:v>
                </c:pt>
                <c:pt idx="38">
                  <c:v>25</c:v>
                </c:pt>
                <c:pt idx="39">
                  <c:v>24</c:v>
                </c:pt>
                <c:pt idx="40">
                  <c:v>20</c:v>
                </c:pt>
                <c:pt idx="41">
                  <c:v>19</c:v>
                </c:pt>
                <c:pt idx="42">
                  <c:v>13</c:v>
                </c:pt>
                <c:pt idx="43">
                  <c:v>11</c:v>
                </c:pt>
                <c:pt idx="44">
                  <c:v>4</c:v>
                </c:pt>
                <c:pt idx="45">
                  <c:v>2</c:v>
                </c:pt>
                <c:pt idx="46">
                  <c:v>16</c:v>
                </c:pt>
                <c:pt idx="47">
                  <c:v>15</c:v>
                </c:pt>
                <c:pt idx="48">
                  <c:v>16</c:v>
                </c:pt>
                <c:pt idx="49">
                  <c:v>22</c:v>
                </c:pt>
                <c:pt idx="50">
                  <c:v>14</c:v>
                </c:pt>
                <c:pt idx="51">
                  <c:v>14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'[Canales endémicos Cesca.xls]Consolidado mayores de 15 '!$L$2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'[Canales endémicos Cesca.xls]Consolidado mayores de 15 '!$L$3:$L$54</c:f>
              <c:numCache>
                <c:formatCode>General</c:formatCode>
                <c:ptCount val="52"/>
                <c:pt idx="0">
                  <c:v>11</c:v>
                </c:pt>
                <c:pt idx="1">
                  <c:v>16</c:v>
                </c:pt>
                <c:pt idx="2">
                  <c:v>11</c:v>
                </c:pt>
                <c:pt idx="3">
                  <c:v>18</c:v>
                </c:pt>
                <c:pt idx="4">
                  <c:v>9</c:v>
                </c:pt>
                <c:pt idx="5">
                  <c:v>7</c:v>
                </c:pt>
                <c:pt idx="6">
                  <c:v>18</c:v>
                </c:pt>
                <c:pt idx="7">
                  <c:v>25</c:v>
                </c:pt>
                <c:pt idx="8">
                  <c:v>10</c:v>
                </c:pt>
                <c:pt idx="9">
                  <c:v>19</c:v>
                </c:pt>
                <c:pt idx="10">
                  <c:v>19</c:v>
                </c:pt>
                <c:pt idx="11">
                  <c:v>13</c:v>
                </c:pt>
                <c:pt idx="12">
                  <c:v>16</c:v>
                </c:pt>
                <c:pt idx="13">
                  <c:v>16</c:v>
                </c:pt>
                <c:pt idx="14">
                  <c:v>14</c:v>
                </c:pt>
                <c:pt idx="15">
                  <c:v>10</c:v>
                </c:pt>
                <c:pt idx="16">
                  <c:v>3</c:v>
                </c:pt>
                <c:pt idx="17">
                  <c:v>28</c:v>
                </c:pt>
                <c:pt idx="18">
                  <c:v>30</c:v>
                </c:pt>
                <c:pt idx="19">
                  <c:v>30</c:v>
                </c:pt>
                <c:pt idx="20">
                  <c:v>39</c:v>
                </c:pt>
                <c:pt idx="21">
                  <c:v>24</c:v>
                </c:pt>
                <c:pt idx="22">
                  <c:v>14</c:v>
                </c:pt>
                <c:pt idx="23">
                  <c:v>52</c:v>
                </c:pt>
                <c:pt idx="24">
                  <c:v>44</c:v>
                </c:pt>
                <c:pt idx="25">
                  <c:v>13</c:v>
                </c:pt>
                <c:pt idx="26">
                  <c:v>41</c:v>
                </c:pt>
                <c:pt idx="27">
                  <c:v>68</c:v>
                </c:pt>
                <c:pt idx="28">
                  <c:v>74</c:v>
                </c:pt>
                <c:pt idx="29">
                  <c:v>32</c:v>
                </c:pt>
                <c:pt idx="30">
                  <c:v>32</c:v>
                </c:pt>
                <c:pt idx="31">
                  <c:v>43</c:v>
                </c:pt>
                <c:pt idx="32">
                  <c:v>36</c:v>
                </c:pt>
                <c:pt idx="33">
                  <c:v>23</c:v>
                </c:pt>
                <c:pt idx="34">
                  <c:v>31</c:v>
                </c:pt>
                <c:pt idx="35">
                  <c:v>17</c:v>
                </c:pt>
                <c:pt idx="36">
                  <c:v>25</c:v>
                </c:pt>
                <c:pt idx="37">
                  <c:v>17</c:v>
                </c:pt>
                <c:pt idx="38">
                  <c:v>14</c:v>
                </c:pt>
                <c:pt idx="39">
                  <c:v>23</c:v>
                </c:pt>
                <c:pt idx="40">
                  <c:v>16</c:v>
                </c:pt>
                <c:pt idx="41">
                  <c:v>23</c:v>
                </c:pt>
                <c:pt idx="42">
                  <c:v>8</c:v>
                </c:pt>
                <c:pt idx="43">
                  <c:v>6</c:v>
                </c:pt>
                <c:pt idx="44">
                  <c:v>7</c:v>
                </c:pt>
                <c:pt idx="45">
                  <c:v>10</c:v>
                </c:pt>
                <c:pt idx="46">
                  <c:v>11</c:v>
                </c:pt>
                <c:pt idx="47">
                  <c:v>15</c:v>
                </c:pt>
                <c:pt idx="48">
                  <c:v>15</c:v>
                </c:pt>
                <c:pt idx="49">
                  <c:v>12</c:v>
                </c:pt>
                <c:pt idx="50">
                  <c:v>2</c:v>
                </c:pt>
                <c:pt idx="51">
                  <c:v>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'[Canales endémicos Cesca.xls]Consolidado mayores de 15 '!$M$2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chemeClr val="accent2">
                  <a:shade val="95000"/>
                  <a:satMod val="105000"/>
                </a:schemeClr>
              </a:solidFill>
            </a:ln>
          </c:spPr>
          <c:marker>
            <c:symbol val="triangle"/>
            <c:size val="2"/>
          </c:marker>
          <c:val>
            <c:numRef>
              <c:f>'[Canales endémicos Cesca.xls]Consolidado mayores de 15 '!$M$3:$M$24</c:f>
              <c:numCache>
                <c:formatCode>General</c:formatCode>
                <c:ptCount val="22"/>
                <c:pt idx="0">
                  <c:v>0</c:v>
                </c:pt>
                <c:pt idx="1">
                  <c:v>8</c:v>
                </c:pt>
                <c:pt idx="2">
                  <c:v>10</c:v>
                </c:pt>
                <c:pt idx="3">
                  <c:v>7</c:v>
                </c:pt>
                <c:pt idx="4">
                  <c:v>11</c:v>
                </c:pt>
                <c:pt idx="5">
                  <c:v>7</c:v>
                </c:pt>
                <c:pt idx="6">
                  <c:v>32</c:v>
                </c:pt>
                <c:pt idx="7">
                  <c:v>17</c:v>
                </c:pt>
                <c:pt idx="8">
                  <c:v>11</c:v>
                </c:pt>
                <c:pt idx="9">
                  <c:v>11</c:v>
                </c:pt>
                <c:pt idx="10">
                  <c:v>24</c:v>
                </c:pt>
                <c:pt idx="11">
                  <c:v>25</c:v>
                </c:pt>
                <c:pt idx="12">
                  <c:v>21</c:v>
                </c:pt>
                <c:pt idx="13">
                  <c:v>22</c:v>
                </c:pt>
                <c:pt idx="14">
                  <c:v>40</c:v>
                </c:pt>
                <c:pt idx="15">
                  <c:v>39</c:v>
                </c:pt>
                <c:pt idx="16">
                  <c:v>29</c:v>
                </c:pt>
                <c:pt idx="17">
                  <c:v>19</c:v>
                </c:pt>
                <c:pt idx="18">
                  <c:v>22</c:v>
                </c:pt>
                <c:pt idx="19">
                  <c:v>34</c:v>
                </c:pt>
                <c:pt idx="20">
                  <c:v>19</c:v>
                </c:pt>
                <c:pt idx="21">
                  <c:v>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9188440"/>
        <c:axId val="559190008"/>
      </c:lineChart>
      <c:catAx>
        <c:axId val="559188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L"/>
          </a:p>
        </c:txPr>
        <c:crossAx val="5591900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591900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CL"/>
          </a:p>
        </c:txPr>
        <c:crossAx val="55918844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731574936834087"/>
          <c:y val="0.84986282375080469"/>
          <c:w val="0.57743049068019037"/>
          <c:h val="0.1113137851633576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C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110701107011508E-2"/>
          <c:y val="3.9087947882736451E-2"/>
          <c:w val="0.88007380073800734"/>
          <c:h val="0.65798045602606259"/>
        </c:manualLayout>
      </c:layout>
      <c:lineChart>
        <c:grouping val="standard"/>
        <c:varyColors val="0"/>
        <c:ser>
          <c:idx val="4"/>
          <c:order val="0"/>
          <c:tx>
            <c:strRef>
              <c:f>'[Canales endémicos SAPU.xlsx]Consolidado menores de 15 '!$G$2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strRef>
              <c:f>'[Canales endémicos SAPU.xlsx]Consolidado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SAPU.xlsx]Consolidado menores de 15 '!$G$3:$G$54</c:f>
              <c:numCache>
                <c:formatCode>General</c:formatCode>
                <c:ptCount val="52"/>
                <c:pt idx="0">
                  <c:v>46</c:v>
                </c:pt>
                <c:pt idx="1">
                  <c:v>40</c:v>
                </c:pt>
                <c:pt idx="2">
                  <c:v>30</c:v>
                </c:pt>
                <c:pt idx="3">
                  <c:v>42</c:v>
                </c:pt>
                <c:pt idx="4">
                  <c:v>27</c:v>
                </c:pt>
                <c:pt idx="5">
                  <c:v>28</c:v>
                </c:pt>
                <c:pt idx="6">
                  <c:v>36</c:v>
                </c:pt>
                <c:pt idx="7">
                  <c:v>35</c:v>
                </c:pt>
                <c:pt idx="8">
                  <c:v>30</c:v>
                </c:pt>
                <c:pt idx="9">
                  <c:v>70</c:v>
                </c:pt>
                <c:pt idx="10">
                  <c:v>104</c:v>
                </c:pt>
                <c:pt idx="11">
                  <c:v>110</c:v>
                </c:pt>
                <c:pt idx="12">
                  <c:v>95</c:v>
                </c:pt>
                <c:pt idx="13">
                  <c:v>100</c:v>
                </c:pt>
                <c:pt idx="14">
                  <c:v>99</c:v>
                </c:pt>
                <c:pt idx="15">
                  <c:v>85</c:v>
                </c:pt>
                <c:pt idx="16">
                  <c:v>96</c:v>
                </c:pt>
                <c:pt idx="17">
                  <c:v>110</c:v>
                </c:pt>
                <c:pt idx="18">
                  <c:v>124</c:v>
                </c:pt>
                <c:pt idx="19">
                  <c:v>108</c:v>
                </c:pt>
                <c:pt idx="20">
                  <c:v>136</c:v>
                </c:pt>
                <c:pt idx="21">
                  <c:v>71</c:v>
                </c:pt>
                <c:pt idx="22">
                  <c:v>104</c:v>
                </c:pt>
                <c:pt idx="23">
                  <c:v>152</c:v>
                </c:pt>
                <c:pt idx="24">
                  <c:v>164</c:v>
                </c:pt>
                <c:pt idx="25">
                  <c:v>213</c:v>
                </c:pt>
                <c:pt idx="26">
                  <c:v>159</c:v>
                </c:pt>
                <c:pt idx="27">
                  <c:v>113</c:v>
                </c:pt>
                <c:pt idx="28">
                  <c:v>122</c:v>
                </c:pt>
                <c:pt idx="29">
                  <c:v>114</c:v>
                </c:pt>
                <c:pt idx="30">
                  <c:v>154</c:v>
                </c:pt>
                <c:pt idx="31">
                  <c:v>159</c:v>
                </c:pt>
                <c:pt idx="32">
                  <c:v>159</c:v>
                </c:pt>
                <c:pt idx="33">
                  <c:v>124</c:v>
                </c:pt>
                <c:pt idx="34">
                  <c:v>114</c:v>
                </c:pt>
                <c:pt idx="35">
                  <c:v>118</c:v>
                </c:pt>
                <c:pt idx="36">
                  <c:v>98</c:v>
                </c:pt>
                <c:pt idx="37">
                  <c:v>83</c:v>
                </c:pt>
                <c:pt idx="38">
                  <c:v>82</c:v>
                </c:pt>
                <c:pt idx="39">
                  <c:v>81</c:v>
                </c:pt>
                <c:pt idx="40">
                  <c:v>86</c:v>
                </c:pt>
                <c:pt idx="41">
                  <c:v>87</c:v>
                </c:pt>
                <c:pt idx="42">
                  <c:v>72</c:v>
                </c:pt>
                <c:pt idx="43">
                  <c:v>83</c:v>
                </c:pt>
                <c:pt idx="44">
                  <c:v>55</c:v>
                </c:pt>
                <c:pt idx="45">
                  <c:v>73</c:v>
                </c:pt>
                <c:pt idx="46">
                  <c:v>64</c:v>
                </c:pt>
                <c:pt idx="47">
                  <c:v>65</c:v>
                </c:pt>
                <c:pt idx="48">
                  <c:v>60</c:v>
                </c:pt>
                <c:pt idx="49">
                  <c:v>37</c:v>
                </c:pt>
                <c:pt idx="50">
                  <c:v>40</c:v>
                </c:pt>
                <c:pt idx="51">
                  <c:v>36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'[Canales endémicos SAPU.xlsx]Consolidado menores de 15 '!$H$2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chemeClr val="tx2"/>
              </a:solidFill>
              <a:ln>
                <a:solidFill>
                  <a:srgbClr val="000080"/>
                </a:solidFill>
              </a:ln>
            </c:spPr>
          </c:marker>
          <c:cat>
            <c:strRef>
              <c:f>'[Canales endémicos SAPU.xlsx]Consolidado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SAPU.xlsx]Consolidado menores de 15 '!$H$3:$H$53</c:f>
              <c:numCache>
                <c:formatCode>#,##0</c:formatCode>
                <c:ptCount val="51"/>
                <c:pt idx="0">
                  <c:v>27</c:v>
                </c:pt>
                <c:pt idx="1">
                  <c:v>30</c:v>
                </c:pt>
                <c:pt idx="2">
                  <c:v>46</c:v>
                </c:pt>
                <c:pt idx="3">
                  <c:v>19</c:v>
                </c:pt>
                <c:pt idx="4">
                  <c:v>27</c:v>
                </c:pt>
                <c:pt idx="5">
                  <c:v>39</c:v>
                </c:pt>
                <c:pt idx="6">
                  <c:v>23</c:v>
                </c:pt>
                <c:pt idx="7">
                  <c:v>20</c:v>
                </c:pt>
                <c:pt idx="8">
                  <c:v>20</c:v>
                </c:pt>
                <c:pt idx="9">
                  <c:v>37</c:v>
                </c:pt>
                <c:pt idx="10">
                  <c:v>89</c:v>
                </c:pt>
                <c:pt idx="11">
                  <c:v>83</c:v>
                </c:pt>
                <c:pt idx="12">
                  <c:v>124</c:v>
                </c:pt>
                <c:pt idx="13">
                  <c:v>114</c:v>
                </c:pt>
                <c:pt idx="14">
                  <c:v>99</c:v>
                </c:pt>
                <c:pt idx="15">
                  <c:v>108</c:v>
                </c:pt>
                <c:pt idx="16">
                  <c:v>84</c:v>
                </c:pt>
                <c:pt idx="17">
                  <c:v>112</c:v>
                </c:pt>
                <c:pt idx="18">
                  <c:v>113</c:v>
                </c:pt>
                <c:pt idx="19">
                  <c:v>137</c:v>
                </c:pt>
                <c:pt idx="20">
                  <c:v>159</c:v>
                </c:pt>
                <c:pt idx="21">
                  <c:v>163</c:v>
                </c:pt>
                <c:pt idx="22">
                  <c:v>180</c:v>
                </c:pt>
                <c:pt idx="23">
                  <c:v>146</c:v>
                </c:pt>
                <c:pt idx="24">
                  <c:v>126</c:v>
                </c:pt>
                <c:pt idx="25">
                  <c:v>162</c:v>
                </c:pt>
                <c:pt idx="26">
                  <c:v>137</c:v>
                </c:pt>
                <c:pt idx="27">
                  <c:v>104</c:v>
                </c:pt>
                <c:pt idx="28">
                  <c:v>89</c:v>
                </c:pt>
                <c:pt idx="29">
                  <c:v>75</c:v>
                </c:pt>
                <c:pt idx="30">
                  <c:v>80</c:v>
                </c:pt>
                <c:pt idx="31">
                  <c:v>127</c:v>
                </c:pt>
                <c:pt idx="32">
                  <c:v>164</c:v>
                </c:pt>
                <c:pt idx="33">
                  <c:v>127</c:v>
                </c:pt>
                <c:pt idx="34">
                  <c:v>118</c:v>
                </c:pt>
                <c:pt idx="35">
                  <c:v>106</c:v>
                </c:pt>
                <c:pt idx="36">
                  <c:v>83</c:v>
                </c:pt>
                <c:pt idx="37">
                  <c:v>82</c:v>
                </c:pt>
                <c:pt idx="38">
                  <c:v>84</c:v>
                </c:pt>
                <c:pt idx="39">
                  <c:v>77</c:v>
                </c:pt>
                <c:pt idx="40">
                  <c:v>86</c:v>
                </c:pt>
                <c:pt idx="41">
                  <c:v>74</c:v>
                </c:pt>
                <c:pt idx="42">
                  <c:v>77</c:v>
                </c:pt>
                <c:pt idx="43">
                  <c:v>67</c:v>
                </c:pt>
                <c:pt idx="44">
                  <c:v>52</c:v>
                </c:pt>
                <c:pt idx="45">
                  <c:v>61</c:v>
                </c:pt>
                <c:pt idx="46">
                  <c:v>49</c:v>
                </c:pt>
                <c:pt idx="47">
                  <c:v>61</c:v>
                </c:pt>
                <c:pt idx="48">
                  <c:v>62</c:v>
                </c:pt>
                <c:pt idx="49">
                  <c:v>37</c:v>
                </c:pt>
                <c:pt idx="50">
                  <c:v>48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'[Canales endémicos SAPU.xlsx]Consolidado menores de 15 '!$I$2</c:f>
              <c:strCache>
                <c:ptCount val="1"/>
                <c:pt idx="0">
                  <c:v>2018</c:v>
                </c:pt>
              </c:strCache>
            </c:strRef>
          </c:tx>
          <c:spPr>
            <a:ln w="25400"/>
          </c:spPr>
          <c:marker>
            <c:symbol val="none"/>
          </c:marker>
          <c:val>
            <c:numRef>
              <c:f>'[Canales endémicos SAPU.xlsx]Consolidado menores de 15 '!$I$3:$I$24</c:f>
              <c:numCache>
                <c:formatCode>#,##0</c:formatCode>
                <c:ptCount val="22"/>
                <c:pt idx="0">
                  <c:v>43</c:v>
                </c:pt>
                <c:pt idx="1">
                  <c:v>36</c:v>
                </c:pt>
                <c:pt idx="2">
                  <c:v>31</c:v>
                </c:pt>
                <c:pt idx="3">
                  <c:v>33</c:v>
                </c:pt>
                <c:pt idx="4">
                  <c:v>29</c:v>
                </c:pt>
                <c:pt idx="5">
                  <c:v>21</c:v>
                </c:pt>
                <c:pt idx="6">
                  <c:v>29</c:v>
                </c:pt>
                <c:pt idx="7">
                  <c:v>26</c:v>
                </c:pt>
                <c:pt idx="8">
                  <c:v>25</c:v>
                </c:pt>
                <c:pt idx="9">
                  <c:v>49</c:v>
                </c:pt>
                <c:pt idx="10">
                  <c:v>138</c:v>
                </c:pt>
                <c:pt idx="11">
                  <c:v>134</c:v>
                </c:pt>
                <c:pt idx="12">
                  <c:v>95</c:v>
                </c:pt>
                <c:pt idx="13">
                  <c:v>90</c:v>
                </c:pt>
                <c:pt idx="14">
                  <c:v>84</c:v>
                </c:pt>
                <c:pt idx="15">
                  <c:v>107</c:v>
                </c:pt>
                <c:pt idx="16">
                  <c:v>91</c:v>
                </c:pt>
                <c:pt idx="17">
                  <c:v>98</c:v>
                </c:pt>
                <c:pt idx="18">
                  <c:v>95</c:v>
                </c:pt>
                <c:pt idx="19">
                  <c:v>101</c:v>
                </c:pt>
                <c:pt idx="20">
                  <c:v>125</c:v>
                </c:pt>
                <c:pt idx="21">
                  <c:v>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3461448"/>
        <c:axId val="563460664"/>
      </c:lineChart>
      <c:catAx>
        <c:axId val="563461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/>
            </a:pPr>
            <a:endParaRPr lang="es-CL"/>
          </a:p>
        </c:txPr>
        <c:crossAx val="563460664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63460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5634614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/>
          </a:pPr>
          <a:endParaRPr lang="es-CL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110701107011508E-2"/>
          <c:y val="5.2117263843648932E-2"/>
          <c:w val="0.89143104982405308"/>
          <c:h val="0.68820722346734364"/>
        </c:manualLayout>
      </c:layout>
      <c:lineChart>
        <c:grouping val="standard"/>
        <c:varyColors val="0"/>
        <c:ser>
          <c:idx val="1"/>
          <c:order val="0"/>
          <c:tx>
            <c:strRef>
              <c:f>'[Canales endémicos SAPU.xlsx]Consolidado mayores de 15'!$G$2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chemeClr val="accent3"/>
              </a:solidFill>
            </a:ln>
          </c:spPr>
          <c:marker>
            <c:symbol val="triangle"/>
            <c:size val="2"/>
            <c:spPr>
              <a:solidFill>
                <a:srgbClr val="7030A0"/>
              </a:solidFill>
              <a:ln>
                <a:solidFill>
                  <a:srgbClr val="00B050"/>
                </a:solidFill>
              </a:ln>
            </c:spPr>
          </c:marker>
          <c:cat>
            <c:strRef>
              <c:f>'[Canales endémicos SAPU.xlsx]Consolidado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SAPU.xlsx]Consolidado mayores de 15'!$G$3:$G$54</c:f>
              <c:numCache>
                <c:formatCode>General</c:formatCode>
                <c:ptCount val="52"/>
                <c:pt idx="0">
                  <c:v>72</c:v>
                </c:pt>
                <c:pt idx="1">
                  <c:v>64</c:v>
                </c:pt>
                <c:pt idx="2">
                  <c:v>55</c:v>
                </c:pt>
                <c:pt idx="3">
                  <c:v>33</c:v>
                </c:pt>
                <c:pt idx="4">
                  <c:v>53</c:v>
                </c:pt>
                <c:pt idx="5">
                  <c:v>78</c:v>
                </c:pt>
                <c:pt idx="6">
                  <c:v>71</c:v>
                </c:pt>
                <c:pt idx="7">
                  <c:v>71</c:v>
                </c:pt>
                <c:pt idx="8">
                  <c:v>79</c:v>
                </c:pt>
                <c:pt idx="9">
                  <c:v>74</c:v>
                </c:pt>
                <c:pt idx="10">
                  <c:v>89</c:v>
                </c:pt>
                <c:pt idx="11">
                  <c:v>125</c:v>
                </c:pt>
                <c:pt idx="12">
                  <c:v>87</c:v>
                </c:pt>
                <c:pt idx="13">
                  <c:v>103</c:v>
                </c:pt>
                <c:pt idx="14">
                  <c:v>102</c:v>
                </c:pt>
                <c:pt idx="15">
                  <c:v>83</c:v>
                </c:pt>
                <c:pt idx="16">
                  <c:v>81</c:v>
                </c:pt>
                <c:pt idx="17">
                  <c:v>94</c:v>
                </c:pt>
                <c:pt idx="18">
                  <c:v>83</c:v>
                </c:pt>
                <c:pt idx="19">
                  <c:v>114</c:v>
                </c:pt>
                <c:pt idx="20">
                  <c:v>97</c:v>
                </c:pt>
                <c:pt idx="21">
                  <c:v>110</c:v>
                </c:pt>
                <c:pt idx="22">
                  <c:v>105</c:v>
                </c:pt>
                <c:pt idx="23">
                  <c:v>97</c:v>
                </c:pt>
                <c:pt idx="24">
                  <c:v>106</c:v>
                </c:pt>
                <c:pt idx="25">
                  <c:v>198</c:v>
                </c:pt>
                <c:pt idx="26">
                  <c:v>200</c:v>
                </c:pt>
                <c:pt idx="27">
                  <c:v>203</c:v>
                </c:pt>
                <c:pt idx="28">
                  <c:v>201</c:v>
                </c:pt>
                <c:pt idx="29">
                  <c:v>167</c:v>
                </c:pt>
                <c:pt idx="30">
                  <c:v>151</c:v>
                </c:pt>
                <c:pt idx="31">
                  <c:v>144</c:v>
                </c:pt>
                <c:pt idx="32">
                  <c:v>148</c:v>
                </c:pt>
                <c:pt idx="33">
                  <c:v>122</c:v>
                </c:pt>
                <c:pt idx="34">
                  <c:v>141</c:v>
                </c:pt>
                <c:pt idx="35">
                  <c:v>95</c:v>
                </c:pt>
                <c:pt idx="36">
                  <c:v>101</c:v>
                </c:pt>
                <c:pt idx="37">
                  <c:v>117</c:v>
                </c:pt>
                <c:pt idx="38">
                  <c:v>94</c:v>
                </c:pt>
                <c:pt idx="39">
                  <c:v>91</c:v>
                </c:pt>
                <c:pt idx="40">
                  <c:v>94</c:v>
                </c:pt>
                <c:pt idx="41">
                  <c:v>75</c:v>
                </c:pt>
                <c:pt idx="42">
                  <c:v>109</c:v>
                </c:pt>
                <c:pt idx="43">
                  <c:v>92</c:v>
                </c:pt>
                <c:pt idx="44">
                  <c:v>68</c:v>
                </c:pt>
                <c:pt idx="45">
                  <c:v>67</c:v>
                </c:pt>
                <c:pt idx="46">
                  <c:v>61</c:v>
                </c:pt>
                <c:pt idx="47">
                  <c:v>64</c:v>
                </c:pt>
                <c:pt idx="48">
                  <c:v>65</c:v>
                </c:pt>
                <c:pt idx="49">
                  <c:v>53</c:v>
                </c:pt>
                <c:pt idx="50">
                  <c:v>54</c:v>
                </c:pt>
                <c:pt idx="51">
                  <c:v>55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'[Canales endémicos SAPU.xlsx]Consolidado mayores de 15'!$H$2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</a:ln>
            </c:spPr>
          </c:marker>
          <c:dPt>
            <c:idx val="19"/>
            <c:marker>
              <c:spPr>
                <a:solidFill>
                  <a:srgbClr val="002060"/>
                </a:solidFill>
                <a:ln>
                  <a:solidFill>
                    <a:srgbClr val="002060"/>
                  </a:solidFill>
                </a:ln>
              </c:spPr>
            </c:marker>
            <c:bubble3D val="0"/>
            <c:spPr>
              <a:ln w="25400">
                <a:solidFill>
                  <a:srgbClr val="002060"/>
                </a:solidFill>
              </a:ln>
            </c:spPr>
          </c:dPt>
          <c:cat>
            <c:strRef>
              <c:f>'[Canales endémicos SAPU.xlsx]Consolidado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SAPU.xlsx]Consolidado mayores de 15'!$H$3:$H$53</c:f>
              <c:numCache>
                <c:formatCode>#,##0</c:formatCode>
                <c:ptCount val="51"/>
                <c:pt idx="0">
                  <c:v>53</c:v>
                </c:pt>
                <c:pt idx="1">
                  <c:v>45</c:v>
                </c:pt>
                <c:pt idx="2">
                  <c:v>61</c:v>
                </c:pt>
                <c:pt idx="3">
                  <c:v>44</c:v>
                </c:pt>
                <c:pt idx="4">
                  <c:v>46</c:v>
                </c:pt>
                <c:pt idx="5">
                  <c:v>53</c:v>
                </c:pt>
                <c:pt idx="6">
                  <c:v>38</c:v>
                </c:pt>
                <c:pt idx="7" formatCode="General">
                  <c:v>51</c:v>
                </c:pt>
                <c:pt idx="8" formatCode="General">
                  <c:v>47</c:v>
                </c:pt>
                <c:pt idx="9" formatCode="General">
                  <c:v>73</c:v>
                </c:pt>
                <c:pt idx="10" formatCode="General">
                  <c:v>84</c:v>
                </c:pt>
                <c:pt idx="11" formatCode="General">
                  <c:v>91</c:v>
                </c:pt>
                <c:pt idx="12" formatCode="General">
                  <c:v>124</c:v>
                </c:pt>
                <c:pt idx="13" formatCode="General">
                  <c:v>94</c:v>
                </c:pt>
                <c:pt idx="14" formatCode="General">
                  <c:v>91</c:v>
                </c:pt>
                <c:pt idx="15" formatCode="General">
                  <c:v>84</c:v>
                </c:pt>
                <c:pt idx="16" formatCode="General">
                  <c:v>94</c:v>
                </c:pt>
                <c:pt idx="17" formatCode="General">
                  <c:v>96</c:v>
                </c:pt>
                <c:pt idx="18" formatCode="General">
                  <c:v>95</c:v>
                </c:pt>
                <c:pt idx="19" formatCode="General">
                  <c:v>142</c:v>
                </c:pt>
                <c:pt idx="20" formatCode="General">
                  <c:v>135</c:v>
                </c:pt>
                <c:pt idx="21" formatCode="General">
                  <c:v>151</c:v>
                </c:pt>
                <c:pt idx="22" formatCode="General">
                  <c:v>209</c:v>
                </c:pt>
                <c:pt idx="23" formatCode="General">
                  <c:v>170</c:v>
                </c:pt>
                <c:pt idx="24" formatCode="General">
                  <c:v>171</c:v>
                </c:pt>
                <c:pt idx="25" formatCode="General">
                  <c:v>176</c:v>
                </c:pt>
                <c:pt idx="26" formatCode="General">
                  <c:v>145</c:v>
                </c:pt>
                <c:pt idx="27" formatCode="General">
                  <c:v>102</c:v>
                </c:pt>
                <c:pt idx="28" formatCode="General">
                  <c:v>114</c:v>
                </c:pt>
                <c:pt idx="29" formatCode="General">
                  <c:v>96</c:v>
                </c:pt>
                <c:pt idx="30" formatCode="General">
                  <c:v>86</c:v>
                </c:pt>
                <c:pt idx="31" formatCode="General">
                  <c:v>103</c:v>
                </c:pt>
                <c:pt idx="32" formatCode="General">
                  <c:v>157</c:v>
                </c:pt>
                <c:pt idx="33" formatCode="General">
                  <c:v>138</c:v>
                </c:pt>
                <c:pt idx="34" formatCode="General">
                  <c:v>116</c:v>
                </c:pt>
                <c:pt idx="35" formatCode="General">
                  <c:v>106</c:v>
                </c:pt>
                <c:pt idx="36" formatCode="General">
                  <c:v>101</c:v>
                </c:pt>
                <c:pt idx="37" formatCode="General">
                  <c:v>111</c:v>
                </c:pt>
                <c:pt idx="38" formatCode="General">
                  <c:v>105</c:v>
                </c:pt>
                <c:pt idx="39" formatCode="General">
                  <c:v>81</c:v>
                </c:pt>
                <c:pt idx="40" formatCode="General">
                  <c:v>90</c:v>
                </c:pt>
                <c:pt idx="41" formatCode="General">
                  <c:v>73</c:v>
                </c:pt>
                <c:pt idx="42" formatCode="General">
                  <c:v>84</c:v>
                </c:pt>
                <c:pt idx="43" formatCode="General">
                  <c:v>84</c:v>
                </c:pt>
                <c:pt idx="44" formatCode="General">
                  <c:v>84</c:v>
                </c:pt>
                <c:pt idx="45" formatCode="General">
                  <c:v>69</c:v>
                </c:pt>
                <c:pt idx="46" formatCode="General">
                  <c:v>71</c:v>
                </c:pt>
                <c:pt idx="47" formatCode="General">
                  <c:v>65</c:v>
                </c:pt>
                <c:pt idx="48" formatCode="General">
                  <c:v>71</c:v>
                </c:pt>
                <c:pt idx="49" formatCode="General">
                  <c:v>64</c:v>
                </c:pt>
                <c:pt idx="50" formatCode="General">
                  <c:v>52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'[Canales endémicos SAPU.xlsx]Consolidado mayores de 15'!$I$2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triangle"/>
            <c:size val="2"/>
            <c:spPr>
              <a:ln>
                <a:solidFill>
                  <a:srgbClr val="C00000"/>
                </a:solidFill>
              </a:ln>
            </c:spPr>
          </c:marker>
          <c:val>
            <c:numRef>
              <c:f>'[Canales endémicos SAPU.xlsx]Consolidado mayores de 15'!$I$3:$I$24</c:f>
              <c:numCache>
                <c:formatCode>#,##0</c:formatCode>
                <c:ptCount val="22"/>
                <c:pt idx="0">
                  <c:v>66</c:v>
                </c:pt>
                <c:pt idx="1">
                  <c:v>44</c:v>
                </c:pt>
                <c:pt idx="2">
                  <c:v>46</c:v>
                </c:pt>
                <c:pt idx="3">
                  <c:v>56</c:v>
                </c:pt>
                <c:pt idx="4">
                  <c:v>57</c:v>
                </c:pt>
                <c:pt idx="5">
                  <c:v>40</c:v>
                </c:pt>
                <c:pt idx="6">
                  <c:v>57</c:v>
                </c:pt>
                <c:pt idx="7">
                  <c:v>55</c:v>
                </c:pt>
                <c:pt idx="8">
                  <c:v>69</c:v>
                </c:pt>
                <c:pt idx="9">
                  <c:v>79</c:v>
                </c:pt>
                <c:pt idx="10">
                  <c:v>114</c:v>
                </c:pt>
                <c:pt idx="11">
                  <c:v>161</c:v>
                </c:pt>
                <c:pt idx="12">
                  <c:v>153</c:v>
                </c:pt>
                <c:pt idx="13">
                  <c:v>119</c:v>
                </c:pt>
                <c:pt idx="14">
                  <c:v>106</c:v>
                </c:pt>
                <c:pt idx="15">
                  <c:v>103</c:v>
                </c:pt>
                <c:pt idx="16">
                  <c:v>76</c:v>
                </c:pt>
                <c:pt idx="17">
                  <c:v>100</c:v>
                </c:pt>
                <c:pt idx="18">
                  <c:v>93</c:v>
                </c:pt>
                <c:pt idx="19">
                  <c:v>95</c:v>
                </c:pt>
                <c:pt idx="20">
                  <c:v>110</c:v>
                </c:pt>
                <c:pt idx="21">
                  <c:v>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3464192"/>
        <c:axId val="560817024"/>
      </c:lineChart>
      <c:catAx>
        <c:axId val="56346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/>
            </a:pPr>
            <a:endParaRPr lang="es-CL"/>
          </a:p>
        </c:txPr>
        <c:crossAx val="560817024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608170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5634641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1895746421816523"/>
          <c:y val="0.90232438829277317"/>
          <c:w val="0.36208507156366954"/>
          <c:h val="6.073186695491778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110791916605894E-2"/>
          <c:y val="2.6818028114583833E-2"/>
          <c:w val="0.88007380073800734"/>
          <c:h val="0.65798045602606259"/>
        </c:manualLayout>
      </c:layout>
      <c:lineChart>
        <c:grouping val="standard"/>
        <c:varyColors val="0"/>
        <c:ser>
          <c:idx val="4"/>
          <c:order val="0"/>
          <c:tx>
            <c:strRef>
              <c:f>'[Canal Endemico Urgencia.xlsx]Consolidado menores de 15 '!$K$2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strRef>
              <c:f>'[Canal Endemico Urgencia.xlsx]Consolidado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 Endemico Urgencia.xlsx]Consolidado menores de 15 '!$K$3:$K$54</c:f>
              <c:numCache>
                <c:formatCode>General</c:formatCode>
                <c:ptCount val="52"/>
                <c:pt idx="0">
                  <c:v>81</c:v>
                </c:pt>
                <c:pt idx="1">
                  <c:v>62</c:v>
                </c:pt>
                <c:pt idx="2">
                  <c:v>61</c:v>
                </c:pt>
                <c:pt idx="3">
                  <c:v>54</c:v>
                </c:pt>
                <c:pt idx="4">
                  <c:v>45</c:v>
                </c:pt>
                <c:pt idx="5">
                  <c:v>52</c:v>
                </c:pt>
                <c:pt idx="6">
                  <c:v>55</c:v>
                </c:pt>
                <c:pt idx="7">
                  <c:v>45</c:v>
                </c:pt>
                <c:pt idx="8">
                  <c:v>50</c:v>
                </c:pt>
                <c:pt idx="9">
                  <c:v>89</c:v>
                </c:pt>
                <c:pt idx="10">
                  <c:v>101</c:v>
                </c:pt>
                <c:pt idx="11">
                  <c:v>138</c:v>
                </c:pt>
                <c:pt idx="12">
                  <c:v>127</c:v>
                </c:pt>
                <c:pt idx="13">
                  <c:v>109</c:v>
                </c:pt>
                <c:pt idx="14">
                  <c:v>106</c:v>
                </c:pt>
                <c:pt idx="15">
                  <c:v>112</c:v>
                </c:pt>
                <c:pt idx="16">
                  <c:v>117</c:v>
                </c:pt>
                <c:pt idx="17">
                  <c:v>126</c:v>
                </c:pt>
                <c:pt idx="18">
                  <c:v>155</c:v>
                </c:pt>
                <c:pt idx="19">
                  <c:v>150</c:v>
                </c:pt>
                <c:pt idx="20">
                  <c:v>143</c:v>
                </c:pt>
                <c:pt idx="21">
                  <c:v>130</c:v>
                </c:pt>
                <c:pt idx="22">
                  <c:v>116</c:v>
                </c:pt>
                <c:pt idx="23">
                  <c:v>168</c:v>
                </c:pt>
                <c:pt idx="24">
                  <c:v>189</c:v>
                </c:pt>
                <c:pt idx="25">
                  <c:v>299</c:v>
                </c:pt>
                <c:pt idx="26">
                  <c:v>269</c:v>
                </c:pt>
                <c:pt idx="27">
                  <c:v>272</c:v>
                </c:pt>
                <c:pt idx="28">
                  <c:v>199</c:v>
                </c:pt>
                <c:pt idx="29">
                  <c:v>157</c:v>
                </c:pt>
                <c:pt idx="30">
                  <c:v>176</c:v>
                </c:pt>
                <c:pt idx="31">
                  <c:v>211</c:v>
                </c:pt>
                <c:pt idx="32">
                  <c:v>210</c:v>
                </c:pt>
                <c:pt idx="33">
                  <c:v>154</c:v>
                </c:pt>
                <c:pt idx="34">
                  <c:v>159</c:v>
                </c:pt>
                <c:pt idx="35">
                  <c:v>155</c:v>
                </c:pt>
                <c:pt idx="36">
                  <c:v>134</c:v>
                </c:pt>
                <c:pt idx="37">
                  <c:v>144</c:v>
                </c:pt>
                <c:pt idx="38">
                  <c:v>124</c:v>
                </c:pt>
                <c:pt idx="39">
                  <c:v>120</c:v>
                </c:pt>
                <c:pt idx="40">
                  <c:v>128</c:v>
                </c:pt>
                <c:pt idx="41">
                  <c:v>99</c:v>
                </c:pt>
                <c:pt idx="42">
                  <c:v>102</c:v>
                </c:pt>
                <c:pt idx="43">
                  <c:v>92</c:v>
                </c:pt>
                <c:pt idx="44">
                  <c:v>81</c:v>
                </c:pt>
                <c:pt idx="45">
                  <c:v>85</c:v>
                </c:pt>
                <c:pt idx="46">
                  <c:v>81</c:v>
                </c:pt>
                <c:pt idx="47">
                  <c:v>70</c:v>
                </c:pt>
                <c:pt idx="48">
                  <c:v>83</c:v>
                </c:pt>
                <c:pt idx="49">
                  <c:v>50</c:v>
                </c:pt>
                <c:pt idx="50">
                  <c:v>69</c:v>
                </c:pt>
                <c:pt idx="51">
                  <c:v>56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'[Canal Endemico Urgencia.xlsx]Consolidado menores de 15 '!$L$2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chemeClr val="tx2"/>
              </a:solidFill>
              <a:ln>
                <a:solidFill>
                  <a:srgbClr val="000080"/>
                </a:solidFill>
              </a:ln>
            </c:spPr>
          </c:marker>
          <c:cat>
            <c:strRef>
              <c:f>'[Canal Endemico Urgencia.xlsx]Consolidado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 Endemico Urgencia.xlsx]Consolidado menores de 15 '!$L$3:$L$54</c:f>
              <c:numCache>
                <c:formatCode>General</c:formatCode>
                <c:ptCount val="52"/>
                <c:pt idx="0">
                  <c:v>65</c:v>
                </c:pt>
                <c:pt idx="1">
                  <c:v>57</c:v>
                </c:pt>
                <c:pt idx="2">
                  <c:v>55</c:v>
                </c:pt>
                <c:pt idx="3">
                  <c:v>47</c:v>
                </c:pt>
                <c:pt idx="4">
                  <c:v>56</c:v>
                </c:pt>
                <c:pt idx="5">
                  <c:v>31</c:v>
                </c:pt>
                <c:pt idx="6">
                  <c:v>28</c:v>
                </c:pt>
                <c:pt idx="7">
                  <c:v>47</c:v>
                </c:pt>
                <c:pt idx="8">
                  <c:v>32</c:v>
                </c:pt>
                <c:pt idx="9">
                  <c:v>46</c:v>
                </c:pt>
                <c:pt idx="10">
                  <c:v>78</c:v>
                </c:pt>
                <c:pt idx="11">
                  <c:v>112</c:v>
                </c:pt>
                <c:pt idx="12">
                  <c:v>143</c:v>
                </c:pt>
                <c:pt idx="13">
                  <c:v>104</c:v>
                </c:pt>
                <c:pt idx="14">
                  <c:v>102</c:v>
                </c:pt>
                <c:pt idx="15">
                  <c:v>121</c:v>
                </c:pt>
                <c:pt idx="16">
                  <c:v>126</c:v>
                </c:pt>
                <c:pt idx="17">
                  <c:v>144</c:v>
                </c:pt>
                <c:pt idx="18">
                  <c:v>134</c:v>
                </c:pt>
                <c:pt idx="19">
                  <c:v>151</c:v>
                </c:pt>
                <c:pt idx="20">
                  <c:v>154</c:v>
                </c:pt>
                <c:pt idx="21">
                  <c:v>247</c:v>
                </c:pt>
                <c:pt idx="22">
                  <c:v>198</c:v>
                </c:pt>
                <c:pt idx="23">
                  <c:v>161</c:v>
                </c:pt>
                <c:pt idx="24">
                  <c:v>200</c:v>
                </c:pt>
                <c:pt idx="25">
                  <c:v>215</c:v>
                </c:pt>
                <c:pt idx="26">
                  <c:v>205</c:v>
                </c:pt>
                <c:pt idx="27">
                  <c:v>192</c:v>
                </c:pt>
                <c:pt idx="28">
                  <c:v>140</c:v>
                </c:pt>
                <c:pt idx="29">
                  <c:v>107</c:v>
                </c:pt>
                <c:pt idx="30">
                  <c:v>118</c:v>
                </c:pt>
                <c:pt idx="31">
                  <c:v>135</c:v>
                </c:pt>
                <c:pt idx="32">
                  <c:v>159</c:v>
                </c:pt>
                <c:pt idx="33">
                  <c:v>144</c:v>
                </c:pt>
                <c:pt idx="34">
                  <c:v>125</c:v>
                </c:pt>
                <c:pt idx="35">
                  <c:v>98</c:v>
                </c:pt>
                <c:pt idx="36">
                  <c:v>87</c:v>
                </c:pt>
                <c:pt idx="37">
                  <c:v>103</c:v>
                </c:pt>
                <c:pt idx="38">
                  <c:v>82</c:v>
                </c:pt>
                <c:pt idx="39">
                  <c:v>104</c:v>
                </c:pt>
                <c:pt idx="40">
                  <c:v>108</c:v>
                </c:pt>
                <c:pt idx="41">
                  <c:v>91</c:v>
                </c:pt>
                <c:pt idx="42">
                  <c:v>90</c:v>
                </c:pt>
                <c:pt idx="43">
                  <c:v>88</c:v>
                </c:pt>
                <c:pt idx="44">
                  <c:v>85</c:v>
                </c:pt>
                <c:pt idx="45">
                  <c:v>95</c:v>
                </c:pt>
                <c:pt idx="46">
                  <c:v>89</c:v>
                </c:pt>
                <c:pt idx="47">
                  <c:v>94</c:v>
                </c:pt>
                <c:pt idx="48">
                  <c:v>70</c:v>
                </c:pt>
                <c:pt idx="49">
                  <c:v>59</c:v>
                </c:pt>
                <c:pt idx="50">
                  <c:v>58</c:v>
                </c:pt>
                <c:pt idx="51">
                  <c:v>68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'[Canal Endemico Urgencia.xlsx]Consolidado menores de 15 '!$M$2</c:f>
              <c:strCache>
                <c:ptCount val="1"/>
                <c:pt idx="0">
                  <c:v>2018</c:v>
                </c:pt>
              </c:strCache>
            </c:strRef>
          </c:tx>
          <c:spPr>
            <a:ln w="25400"/>
          </c:spPr>
          <c:marker>
            <c:symbol val="triangle"/>
            <c:size val="2"/>
          </c:marker>
          <c:val>
            <c:numRef>
              <c:f>'[Canal Endemico Urgencia.xlsx]Consolidado menores de 15 '!$M$3:$M$24</c:f>
              <c:numCache>
                <c:formatCode>General</c:formatCode>
                <c:ptCount val="22"/>
                <c:pt idx="0">
                  <c:v>51</c:v>
                </c:pt>
                <c:pt idx="1">
                  <c:v>39</c:v>
                </c:pt>
                <c:pt idx="2">
                  <c:v>82</c:v>
                </c:pt>
                <c:pt idx="3">
                  <c:v>61</c:v>
                </c:pt>
                <c:pt idx="4">
                  <c:v>30</c:v>
                </c:pt>
                <c:pt idx="5">
                  <c:v>40</c:v>
                </c:pt>
                <c:pt idx="6">
                  <c:v>44</c:v>
                </c:pt>
                <c:pt idx="7">
                  <c:v>39</c:v>
                </c:pt>
                <c:pt idx="8">
                  <c:v>42</c:v>
                </c:pt>
                <c:pt idx="9">
                  <c:v>44</c:v>
                </c:pt>
                <c:pt idx="10">
                  <c:v>109</c:v>
                </c:pt>
                <c:pt idx="11">
                  <c:v>116</c:v>
                </c:pt>
                <c:pt idx="12">
                  <c:v>82</c:v>
                </c:pt>
                <c:pt idx="13">
                  <c:v>68</c:v>
                </c:pt>
                <c:pt idx="14">
                  <c:v>85</c:v>
                </c:pt>
                <c:pt idx="15">
                  <c:v>81</c:v>
                </c:pt>
                <c:pt idx="16">
                  <c:v>88</c:v>
                </c:pt>
                <c:pt idx="17">
                  <c:v>71</c:v>
                </c:pt>
                <c:pt idx="18">
                  <c:v>81</c:v>
                </c:pt>
                <c:pt idx="19">
                  <c:v>76</c:v>
                </c:pt>
                <c:pt idx="20">
                  <c:v>99</c:v>
                </c:pt>
                <c:pt idx="21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0818200"/>
        <c:axId val="560817808"/>
      </c:lineChart>
      <c:catAx>
        <c:axId val="560818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/>
            </a:pPr>
            <a:endParaRPr lang="es-CL"/>
          </a:p>
        </c:txPr>
        <c:crossAx val="56081780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560817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56081820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110701107011508E-2"/>
          <c:y val="7.0791445186998689E-2"/>
          <c:w val="0.87320092720368714"/>
          <c:h val="0.63930626318768979"/>
        </c:manualLayout>
      </c:layout>
      <c:lineChart>
        <c:grouping val="standard"/>
        <c:varyColors val="0"/>
        <c:ser>
          <c:idx val="1"/>
          <c:order val="0"/>
          <c:tx>
            <c:strRef>
              <c:f>'[Canal Endemico Urgencia.xlsx]Consolidado mayores de 15'!$K$2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'[Canal Endemico Urgencia.xlsx]Consolidado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 Endemico Urgencia.xlsx]Consolidado mayores de 15'!$K$3:$K$54</c:f>
              <c:numCache>
                <c:formatCode>General</c:formatCode>
                <c:ptCount val="52"/>
                <c:pt idx="0">
                  <c:v>73</c:v>
                </c:pt>
                <c:pt idx="1">
                  <c:v>62</c:v>
                </c:pt>
                <c:pt idx="2">
                  <c:v>58</c:v>
                </c:pt>
                <c:pt idx="3">
                  <c:v>63</c:v>
                </c:pt>
                <c:pt idx="4">
                  <c:v>60</c:v>
                </c:pt>
                <c:pt idx="5">
                  <c:v>57</c:v>
                </c:pt>
                <c:pt idx="6">
                  <c:v>50</c:v>
                </c:pt>
                <c:pt idx="7">
                  <c:v>51</c:v>
                </c:pt>
                <c:pt idx="8">
                  <c:v>59</c:v>
                </c:pt>
                <c:pt idx="9">
                  <c:v>67</c:v>
                </c:pt>
                <c:pt idx="10">
                  <c:v>82</c:v>
                </c:pt>
                <c:pt idx="11">
                  <c:v>106</c:v>
                </c:pt>
                <c:pt idx="12">
                  <c:v>104</c:v>
                </c:pt>
                <c:pt idx="13">
                  <c:v>97</c:v>
                </c:pt>
                <c:pt idx="14">
                  <c:v>90</c:v>
                </c:pt>
                <c:pt idx="15">
                  <c:v>83</c:v>
                </c:pt>
                <c:pt idx="16">
                  <c:v>91</c:v>
                </c:pt>
                <c:pt idx="17">
                  <c:v>102</c:v>
                </c:pt>
                <c:pt idx="18">
                  <c:v>105</c:v>
                </c:pt>
                <c:pt idx="19">
                  <c:v>110</c:v>
                </c:pt>
                <c:pt idx="20">
                  <c:v>97</c:v>
                </c:pt>
                <c:pt idx="21">
                  <c:v>90</c:v>
                </c:pt>
                <c:pt idx="22">
                  <c:v>91</c:v>
                </c:pt>
                <c:pt idx="23">
                  <c:v>124</c:v>
                </c:pt>
                <c:pt idx="24">
                  <c:v>134</c:v>
                </c:pt>
                <c:pt idx="25">
                  <c:v>192</c:v>
                </c:pt>
                <c:pt idx="26">
                  <c:v>264</c:v>
                </c:pt>
                <c:pt idx="27">
                  <c:v>245</c:v>
                </c:pt>
                <c:pt idx="28">
                  <c:v>237</c:v>
                </c:pt>
                <c:pt idx="29">
                  <c:v>220</c:v>
                </c:pt>
                <c:pt idx="30">
                  <c:v>183</c:v>
                </c:pt>
                <c:pt idx="31">
                  <c:v>170</c:v>
                </c:pt>
                <c:pt idx="32">
                  <c:v>159</c:v>
                </c:pt>
                <c:pt idx="33">
                  <c:v>143</c:v>
                </c:pt>
                <c:pt idx="34">
                  <c:v>151</c:v>
                </c:pt>
                <c:pt idx="35">
                  <c:v>132</c:v>
                </c:pt>
                <c:pt idx="36">
                  <c:v>139</c:v>
                </c:pt>
                <c:pt idx="37">
                  <c:v>132</c:v>
                </c:pt>
                <c:pt idx="38">
                  <c:v>107</c:v>
                </c:pt>
                <c:pt idx="39">
                  <c:v>104</c:v>
                </c:pt>
                <c:pt idx="40">
                  <c:v>103</c:v>
                </c:pt>
                <c:pt idx="41">
                  <c:v>91</c:v>
                </c:pt>
                <c:pt idx="42">
                  <c:v>91</c:v>
                </c:pt>
                <c:pt idx="43">
                  <c:v>80</c:v>
                </c:pt>
                <c:pt idx="44">
                  <c:v>69</c:v>
                </c:pt>
                <c:pt idx="45">
                  <c:v>61</c:v>
                </c:pt>
                <c:pt idx="46">
                  <c:v>62</c:v>
                </c:pt>
                <c:pt idx="47">
                  <c:v>59</c:v>
                </c:pt>
                <c:pt idx="48">
                  <c:v>54</c:v>
                </c:pt>
                <c:pt idx="49">
                  <c:v>51</c:v>
                </c:pt>
                <c:pt idx="50">
                  <c:v>58</c:v>
                </c:pt>
                <c:pt idx="51">
                  <c:v>48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'[Canal Endemico Urgencia.xlsx]Consolidado mayores de 15'!$L$2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</a:ln>
            </c:spPr>
          </c:marker>
          <c:dPt>
            <c:idx val="19"/>
            <c:marker>
              <c:spPr>
                <a:solidFill>
                  <a:srgbClr val="002060"/>
                </a:solidFill>
                <a:ln>
                  <a:solidFill>
                    <a:srgbClr val="002060"/>
                  </a:solidFill>
                </a:ln>
              </c:spPr>
            </c:marker>
            <c:bubble3D val="0"/>
            <c:spPr>
              <a:ln w="25400">
                <a:solidFill>
                  <a:srgbClr val="002060"/>
                </a:solidFill>
              </a:ln>
            </c:spPr>
          </c:dPt>
          <c:cat>
            <c:strRef>
              <c:f>'[Canal Endemico Urgencia.xlsx]Consolidado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 Endemico Urgencia.xlsx]Consolidado mayores de 15'!$L$3:$L$53</c:f>
              <c:numCache>
                <c:formatCode>General</c:formatCode>
                <c:ptCount val="51"/>
                <c:pt idx="0">
                  <c:v>54</c:v>
                </c:pt>
                <c:pt idx="1">
                  <c:v>51</c:v>
                </c:pt>
                <c:pt idx="2">
                  <c:v>48</c:v>
                </c:pt>
                <c:pt idx="3">
                  <c:v>56</c:v>
                </c:pt>
                <c:pt idx="4">
                  <c:v>45</c:v>
                </c:pt>
                <c:pt idx="5">
                  <c:v>48</c:v>
                </c:pt>
                <c:pt idx="6">
                  <c:v>43</c:v>
                </c:pt>
                <c:pt idx="7">
                  <c:v>59</c:v>
                </c:pt>
                <c:pt idx="8">
                  <c:v>52</c:v>
                </c:pt>
                <c:pt idx="9">
                  <c:v>52</c:v>
                </c:pt>
                <c:pt idx="10">
                  <c:v>68</c:v>
                </c:pt>
                <c:pt idx="11">
                  <c:v>73</c:v>
                </c:pt>
                <c:pt idx="12">
                  <c:v>66</c:v>
                </c:pt>
                <c:pt idx="13">
                  <c:v>76</c:v>
                </c:pt>
                <c:pt idx="14">
                  <c:v>87</c:v>
                </c:pt>
                <c:pt idx="15">
                  <c:v>66</c:v>
                </c:pt>
                <c:pt idx="16">
                  <c:v>78</c:v>
                </c:pt>
                <c:pt idx="17">
                  <c:v>84</c:v>
                </c:pt>
                <c:pt idx="18">
                  <c:v>93</c:v>
                </c:pt>
                <c:pt idx="19">
                  <c:v>119</c:v>
                </c:pt>
                <c:pt idx="20">
                  <c:v>114</c:v>
                </c:pt>
                <c:pt idx="21">
                  <c:v>170</c:v>
                </c:pt>
                <c:pt idx="22">
                  <c:v>151</c:v>
                </c:pt>
                <c:pt idx="23">
                  <c:v>130</c:v>
                </c:pt>
                <c:pt idx="24">
                  <c:v>128</c:v>
                </c:pt>
                <c:pt idx="25">
                  <c:v>150</c:v>
                </c:pt>
                <c:pt idx="26">
                  <c:v>138</c:v>
                </c:pt>
                <c:pt idx="27">
                  <c:v>118</c:v>
                </c:pt>
                <c:pt idx="28">
                  <c:v>113</c:v>
                </c:pt>
                <c:pt idx="29">
                  <c:v>93</c:v>
                </c:pt>
                <c:pt idx="30">
                  <c:v>91</c:v>
                </c:pt>
                <c:pt idx="31">
                  <c:v>87</c:v>
                </c:pt>
                <c:pt idx="32">
                  <c:v>114</c:v>
                </c:pt>
                <c:pt idx="33">
                  <c:v>105</c:v>
                </c:pt>
                <c:pt idx="34">
                  <c:v>93</c:v>
                </c:pt>
                <c:pt idx="35">
                  <c:v>97</c:v>
                </c:pt>
                <c:pt idx="36">
                  <c:v>88</c:v>
                </c:pt>
                <c:pt idx="37">
                  <c:v>111</c:v>
                </c:pt>
                <c:pt idx="38">
                  <c:v>98</c:v>
                </c:pt>
                <c:pt idx="39">
                  <c:v>78</c:v>
                </c:pt>
                <c:pt idx="40">
                  <c:v>81</c:v>
                </c:pt>
                <c:pt idx="41">
                  <c:v>71</c:v>
                </c:pt>
                <c:pt idx="42">
                  <c:v>77</c:v>
                </c:pt>
                <c:pt idx="43">
                  <c:v>66</c:v>
                </c:pt>
                <c:pt idx="44">
                  <c:v>60</c:v>
                </c:pt>
                <c:pt idx="45">
                  <c:v>63</c:v>
                </c:pt>
                <c:pt idx="46">
                  <c:v>55</c:v>
                </c:pt>
                <c:pt idx="47">
                  <c:v>44</c:v>
                </c:pt>
                <c:pt idx="48">
                  <c:v>71</c:v>
                </c:pt>
                <c:pt idx="49">
                  <c:v>56</c:v>
                </c:pt>
                <c:pt idx="50">
                  <c:v>49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'[Canal Endemico Urgencia.xlsx]Consolidado mayores de 15'!$M$2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triangle"/>
            <c:size val="2"/>
            <c:spPr>
              <a:ln>
                <a:solidFill>
                  <a:srgbClr val="C00000"/>
                </a:solidFill>
              </a:ln>
            </c:spPr>
          </c:marker>
          <c:val>
            <c:numRef>
              <c:f>'[Canal Endemico Urgencia.xlsx]Consolidado mayores de 15'!$M$3:$M$24</c:f>
              <c:numCache>
                <c:formatCode>General</c:formatCode>
                <c:ptCount val="22"/>
                <c:pt idx="0">
                  <c:v>65</c:v>
                </c:pt>
                <c:pt idx="1">
                  <c:v>56</c:v>
                </c:pt>
                <c:pt idx="2">
                  <c:v>79</c:v>
                </c:pt>
                <c:pt idx="3">
                  <c:v>42</c:v>
                </c:pt>
                <c:pt idx="4">
                  <c:v>57</c:v>
                </c:pt>
                <c:pt idx="5">
                  <c:v>41</c:v>
                </c:pt>
                <c:pt idx="6">
                  <c:v>43</c:v>
                </c:pt>
                <c:pt idx="7">
                  <c:v>48</c:v>
                </c:pt>
                <c:pt idx="8">
                  <c:v>48</c:v>
                </c:pt>
                <c:pt idx="9">
                  <c:v>43</c:v>
                </c:pt>
                <c:pt idx="10">
                  <c:v>59</c:v>
                </c:pt>
                <c:pt idx="11">
                  <c:v>74</c:v>
                </c:pt>
                <c:pt idx="12">
                  <c:v>79</c:v>
                </c:pt>
                <c:pt idx="13">
                  <c:v>73</c:v>
                </c:pt>
                <c:pt idx="14">
                  <c:v>70</c:v>
                </c:pt>
                <c:pt idx="15">
                  <c:v>80</c:v>
                </c:pt>
                <c:pt idx="16">
                  <c:v>69</c:v>
                </c:pt>
                <c:pt idx="17">
                  <c:v>65</c:v>
                </c:pt>
                <c:pt idx="18">
                  <c:v>75</c:v>
                </c:pt>
                <c:pt idx="19">
                  <c:v>74</c:v>
                </c:pt>
                <c:pt idx="20">
                  <c:v>68</c:v>
                </c:pt>
                <c:pt idx="21">
                  <c:v>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01831088"/>
        <c:axId val="402825840"/>
      </c:lineChart>
      <c:catAx>
        <c:axId val="60183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/>
            </a:pPr>
            <a:endParaRPr lang="es-CL"/>
          </a:p>
        </c:txPr>
        <c:crossAx val="40282584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402825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60183108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376517875842768"/>
          <c:y val="0.89505332494595202"/>
          <c:w val="0.36519576805476633"/>
          <c:h val="6.753655793025871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110701107011508E-2"/>
          <c:y val="3.9087947882736451E-2"/>
          <c:w val="0.88007380073800734"/>
          <c:h val="0.65798045602606259"/>
        </c:manualLayout>
      </c:layout>
      <c:lineChart>
        <c:grouping val="standard"/>
        <c:varyColors val="0"/>
        <c:ser>
          <c:idx val="4"/>
          <c:order val="0"/>
          <c:tx>
            <c:strRef>
              <c:f>'[Canales endémicos Hospitalizaciones HSC-HLA.xlsx]Consolidado menores de 15 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strRef>
              <c:f>'[Canales endémicos Hospitalizaciones HSC-HLA.xlsx]Consolidado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Hospitalizaciones HSC-HLA.xlsx]Consolidado menores de 15 '!$F$3:$F$54</c:f>
              <c:numCache>
                <c:formatCode>#,##0</c:formatCode>
                <c:ptCount val="52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0</c:v>
                </c:pt>
                <c:pt idx="9">
                  <c:v>4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1</c:v>
                </c:pt>
                <c:pt idx="14">
                  <c:v>3</c:v>
                </c:pt>
                <c:pt idx="15">
                  <c:v>3</c:v>
                </c:pt>
                <c:pt idx="16">
                  <c:v>1</c:v>
                </c:pt>
                <c:pt idx="17">
                  <c:v>2</c:v>
                </c:pt>
                <c:pt idx="18">
                  <c:v>6</c:v>
                </c:pt>
                <c:pt idx="19">
                  <c:v>6</c:v>
                </c:pt>
                <c:pt idx="20">
                  <c:v>5</c:v>
                </c:pt>
                <c:pt idx="21">
                  <c:v>4</c:v>
                </c:pt>
                <c:pt idx="22">
                  <c:v>7</c:v>
                </c:pt>
                <c:pt idx="23">
                  <c:v>8</c:v>
                </c:pt>
                <c:pt idx="24">
                  <c:v>7</c:v>
                </c:pt>
                <c:pt idx="25">
                  <c:v>11</c:v>
                </c:pt>
                <c:pt idx="26">
                  <c:v>17</c:v>
                </c:pt>
                <c:pt idx="27">
                  <c:v>20</c:v>
                </c:pt>
                <c:pt idx="28">
                  <c:v>16</c:v>
                </c:pt>
                <c:pt idx="29">
                  <c:v>13</c:v>
                </c:pt>
                <c:pt idx="30">
                  <c:v>16</c:v>
                </c:pt>
                <c:pt idx="31">
                  <c:v>16</c:v>
                </c:pt>
                <c:pt idx="32">
                  <c:v>21</c:v>
                </c:pt>
                <c:pt idx="33">
                  <c:v>16</c:v>
                </c:pt>
                <c:pt idx="34">
                  <c:v>8</c:v>
                </c:pt>
                <c:pt idx="35">
                  <c:v>11</c:v>
                </c:pt>
                <c:pt idx="36">
                  <c:v>14</c:v>
                </c:pt>
                <c:pt idx="37">
                  <c:v>14</c:v>
                </c:pt>
                <c:pt idx="38">
                  <c:v>10</c:v>
                </c:pt>
                <c:pt idx="39">
                  <c:v>4</c:v>
                </c:pt>
                <c:pt idx="40">
                  <c:v>4</c:v>
                </c:pt>
                <c:pt idx="41">
                  <c:v>9</c:v>
                </c:pt>
                <c:pt idx="42">
                  <c:v>5</c:v>
                </c:pt>
                <c:pt idx="43">
                  <c:v>1</c:v>
                </c:pt>
                <c:pt idx="44">
                  <c:v>5</c:v>
                </c:pt>
                <c:pt idx="45">
                  <c:v>0</c:v>
                </c:pt>
                <c:pt idx="46">
                  <c:v>3</c:v>
                </c:pt>
                <c:pt idx="47">
                  <c:v>3</c:v>
                </c:pt>
                <c:pt idx="48">
                  <c:v>3</c:v>
                </c:pt>
                <c:pt idx="49">
                  <c:v>1</c:v>
                </c:pt>
                <c:pt idx="50">
                  <c:v>3</c:v>
                </c:pt>
                <c:pt idx="51">
                  <c:v>3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'[Canales endémicos Hospitalizaciones HSC-HLA.xlsx]Consolidado menores de 15 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chemeClr val="tx2"/>
              </a:solidFill>
              <a:ln>
                <a:solidFill>
                  <a:srgbClr val="000080"/>
                </a:solidFill>
              </a:ln>
            </c:spPr>
          </c:marker>
          <c:cat>
            <c:strRef>
              <c:f>'[Canales endémicos Hospitalizaciones HSC-HLA.xlsx]Consolidado menores de 15 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Hospitalizaciones HSC-HLA.xlsx]Consolidado menores de 15 '!$G$3:$G$53</c:f>
              <c:numCache>
                <c:formatCode>#,##0</c:formatCode>
                <c:ptCount val="51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3</c:v>
                </c:pt>
                <c:pt idx="10">
                  <c:v>3</c:v>
                </c:pt>
                <c:pt idx="11">
                  <c:v>6</c:v>
                </c:pt>
                <c:pt idx="12">
                  <c:v>7</c:v>
                </c:pt>
                <c:pt idx="13">
                  <c:v>6</c:v>
                </c:pt>
                <c:pt idx="14">
                  <c:v>5</c:v>
                </c:pt>
                <c:pt idx="15">
                  <c:v>4</c:v>
                </c:pt>
                <c:pt idx="16">
                  <c:v>4</c:v>
                </c:pt>
                <c:pt idx="17">
                  <c:v>6</c:v>
                </c:pt>
                <c:pt idx="18">
                  <c:v>5</c:v>
                </c:pt>
                <c:pt idx="19">
                  <c:v>3</c:v>
                </c:pt>
                <c:pt idx="20">
                  <c:v>8</c:v>
                </c:pt>
                <c:pt idx="21">
                  <c:v>10</c:v>
                </c:pt>
                <c:pt idx="22">
                  <c:v>7</c:v>
                </c:pt>
                <c:pt idx="23">
                  <c:v>13</c:v>
                </c:pt>
                <c:pt idx="24">
                  <c:v>14</c:v>
                </c:pt>
                <c:pt idx="25">
                  <c:v>16</c:v>
                </c:pt>
                <c:pt idx="26">
                  <c:v>19</c:v>
                </c:pt>
                <c:pt idx="27">
                  <c:v>22</c:v>
                </c:pt>
                <c:pt idx="28">
                  <c:v>18</c:v>
                </c:pt>
                <c:pt idx="29">
                  <c:v>11</c:v>
                </c:pt>
                <c:pt idx="30">
                  <c:v>14</c:v>
                </c:pt>
                <c:pt idx="31">
                  <c:v>9</c:v>
                </c:pt>
                <c:pt idx="32">
                  <c:v>14</c:v>
                </c:pt>
                <c:pt idx="33">
                  <c:v>9</c:v>
                </c:pt>
                <c:pt idx="34">
                  <c:v>8</c:v>
                </c:pt>
                <c:pt idx="35">
                  <c:v>15</c:v>
                </c:pt>
                <c:pt idx="36">
                  <c:v>8</c:v>
                </c:pt>
                <c:pt idx="37">
                  <c:v>5</c:v>
                </c:pt>
                <c:pt idx="38">
                  <c:v>4</c:v>
                </c:pt>
                <c:pt idx="39">
                  <c:v>7</c:v>
                </c:pt>
                <c:pt idx="40">
                  <c:v>6</c:v>
                </c:pt>
                <c:pt idx="41">
                  <c:v>2</c:v>
                </c:pt>
                <c:pt idx="42">
                  <c:v>1</c:v>
                </c:pt>
                <c:pt idx="43">
                  <c:v>5</c:v>
                </c:pt>
                <c:pt idx="44">
                  <c:v>3</c:v>
                </c:pt>
                <c:pt idx="45">
                  <c:v>5</c:v>
                </c:pt>
                <c:pt idx="46">
                  <c:v>3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'[Canales endémicos Hospitalizaciones HSC-HLA.xlsx]Consolidado menores de 15 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/>
          </c:spPr>
          <c:marker>
            <c:symbol val="triangle"/>
            <c:size val="2"/>
          </c:marker>
          <c:val>
            <c:numRef>
              <c:f>'[Canales endémicos Hospitalizaciones HSC-HLA.xlsx]Consolidado menores de 15 '!$H$3:$H$24</c:f>
              <c:numCache>
                <c:formatCode>#,##0</c:formatCode>
                <c:ptCount val="2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6</c:v>
                </c:pt>
                <c:pt idx="12">
                  <c:v>5</c:v>
                </c:pt>
                <c:pt idx="13">
                  <c:v>10</c:v>
                </c:pt>
                <c:pt idx="14">
                  <c:v>4</c:v>
                </c:pt>
                <c:pt idx="15">
                  <c:v>3</c:v>
                </c:pt>
                <c:pt idx="16">
                  <c:v>8</c:v>
                </c:pt>
                <c:pt idx="17">
                  <c:v>2</c:v>
                </c:pt>
                <c:pt idx="18">
                  <c:v>5</c:v>
                </c:pt>
                <c:pt idx="19">
                  <c:v>9</c:v>
                </c:pt>
                <c:pt idx="20">
                  <c:v>9</c:v>
                </c:pt>
                <c:pt idx="2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720256"/>
        <c:axId val="477719080"/>
      </c:lineChart>
      <c:catAx>
        <c:axId val="47772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900"/>
            </a:pPr>
            <a:endParaRPr lang="es-CL"/>
          </a:p>
        </c:txPr>
        <c:crossAx val="47771908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477719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477720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/>
          </a:pPr>
          <a:endParaRPr lang="es-CL"/>
        </a:p>
      </c:tx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165354330708674E-2"/>
          <c:y val="6.2755626291394431E-2"/>
          <c:w val="0.87301920593259175"/>
          <c:h val="0.67795436284750121"/>
        </c:manualLayout>
      </c:layout>
      <c:lineChart>
        <c:grouping val="standard"/>
        <c:varyColors val="0"/>
        <c:ser>
          <c:idx val="1"/>
          <c:order val="0"/>
          <c:tx>
            <c:strRef>
              <c:f>'[Canales endémicos Hospitalizaciones HSC-HLA.xlsx]Consolidado mayores de 15'!$F$2</c:f>
              <c:strCache>
                <c:ptCount val="1"/>
                <c:pt idx="0">
                  <c:v>2016</c:v>
                </c:pt>
              </c:strCache>
            </c:strRef>
          </c:tx>
          <c:spPr>
            <a:ln w="25400">
              <a:solidFill>
                <a:schemeClr val="accent3"/>
              </a:solidFill>
            </a:ln>
          </c:spPr>
          <c:marker>
            <c:symbol val="none"/>
          </c:marker>
          <c:cat>
            <c:strRef>
              <c:f>'[Canales endémicos Hospitalizaciones HSC-HLA.xlsx]Consolidado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Hospitalizaciones HSC-HLA.xlsx]Consolidado mayores de 15'!$F$3:$F$54</c:f>
              <c:numCache>
                <c:formatCode>#,##0</c:formatCode>
                <c:ptCount val="52"/>
                <c:pt idx="0">
                  <c:v>9</c:v>
                </c:pt>
                <c:pt idx="1">
                  <c:v>8</c:v>
                </c:pt>
                <c:pt idx="2">
                  <c:v>14</c:v>
                </c:pt>
                <c:pt idx="3">
                  <c:v>7</c:v>
                </c:pt>
                <c:pt idx="4">
                  <c:v>11</c:v>
                </c:pt>
                <c:pt idx="5">
                  <c:v>11</c:v>
                </c:pt>
                <c:pt idx="6">
                  <c:v>14</c:v>
                </c:pt>
                <c:pt idx="7">
                  <c:v>9</c:v>
                </c:pt>
                <c:pt idx="8">
                  <c:v>19</c:v>
                </c:pt>
                <c:pt idx="9">
                  <c:v>9</c:v>
                </c:pt>
                <c:pt idx="10">
                  <c:v>13</c:v>
                </c:pt>
                <c:pt idx="11">
                  <c:v>10</c:v>
                </c:pt>
                <c:pt idx="12">
                  <c:v>8</c:v>
                </c:pt>
                <c:pt idx="13">
                  <c:v>13</c:v>
                </c:pt>
                <c:pt idx="14">
                  <c:v>13</c:v>
                </c:pt>
                <c:pt idx="15">
                  <c:v>16</c:v>
                </c:pt>
                <c:pt idx="16">
                  <c:v>14</c:v>
                </c:pt>
                <c:pt idx="17">
                  <c:v>14</c:v>
                </c:pt>
                <c:pt idx="18">
                  <c:v>13</c:v>
                </c:pt>
                <c:pt idx="19">
                  <c:v>15</c:v>
                </c:pt>
                <c:pt idx="20">
                  <c:v>16</c:v>
                </c:pt>
                <c:pt idx="21">
                  <c:v>12</c:v>
                </c:pt>
                <c:pt idx="22">
                  <c:v>16</c:v>
                </c:pt>
                <c:pt idx="23">
                  <c:v>19</c:v>
                </c:pt>
                <c:pt idx="24">
                  <c:v>22</c:v>
                </c:pt>
                <c:pt idx="25">
                  <c:v>18</c:v>
                </c:pt>
                <c:pt idx="26">
                  <c:v>27</c:v>
                </c:pt>
                <c:pt idx="27">
                  <c:v>34</c:v>
                </c:pt>
                <c:pt idx="28">
                  <c:v>34</c:v>
                </c:pt>
                <c:pt idx="29">
                  <c:v>33</c:v>
                </c:pt>
                <c:pt idx="30">
                  <c:v>41</c:v>
                </c:pt>
                <c:pt idx="31">
                  <c:v>22</c:v>
                </c:pt>
                <c:pt idx="32">
                  <c:v>21</c:v>
                </c:pt>
                <c:pt idx="33">
                  <c:v>13</c:v>
                </c:pt>
                <c:pt idx="34">
                  <c:v>19</c:v>
                </c:pt>
                <c:pt idx="35">
                  <c:v>15</c:v>
                </c:pt>
                <c:pt idx="36">
                  <c:v>11</c:v>
                </c:pt>
                <c:pt idx="37">
                  <c:v>20</c:v>
                </c:pt>
                <c:pt idx="38">
                  <c:v>24</c:v>
                </c:pt>
                <c:pt idx="39">
                  <c:v>17</c:v>
                </c:pt>
                <c:pt idx="40">
                  <c:v>15</c:v>
                </c:pt>
                <c:pt idx="41">
                  <c:v>14</c:v>
                </c:pt>
                <c:pt idx="42">
                  <c:v>24</c:v>
                </c:pt>
                <c:pt idx="43">
                  <c:v>15</c:v>
                </c:pt>
                <c:pt idx="44">
                  <c:v>11</c:v>
                </c:pt>
                <c:pt idx="45">
                  <c:v>5</c:v>
                </c:pt>
                <c:pt idx="46">
                  <c:v>8</c:v>
                </c:pt>
                <c:pt idx="47">
                  <c:v>7</c:v>
                </c:pt>
                <c:pt idx="48">
                  <c:v>5</c:v>
                </c:pt>
                <c:pt idx="49">
                  <c:v>10</c:v>
                </c:pt>
                <c:pt idx="50">
                  <c:v>15</c:v>
                </c:pt>
                <c:pt idx="51">
                  <c:v>15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'[Canales endémicos Hospitalizaciones HSC-HLA.xlsx]Consolidado mayores de 15'!$G$2</c:f>
              <c:strCache>
                <c:ptCount val="1"/>
                <c:pt idx="0">
                  <c:v>2017</c:v>
                </c:pt>
              </c:strCache>
            </c:strRef>
          </c:tx>
          <c:spPr>
            <a:ln w="25400">
              <a:solidFill>
                <a:srgbClr val="000080"/>
              </a:solidFill>
            </a:ln>
          </c:spPr>
          <c:marker>
            <c:symbol val="triangle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</a:ln>
            </c:spPr>
          </c:marker>
          <c:dPt>
            <c:idx val="19"/>
            <c:marker>
              <c:spPr>
                <a:solidFill>
                  <a:srgbClr val="002060"/>
                </a:solidFill>
                <a:ln>
                  <a:solidFill>
                    <a:srgbClr val="002060"/>
                  </a:solidFill>
                </a:ln>
              </c:spPr>
            </c:marker>
            <c:bubble3D val="0"/>
            <c:spPr>
              <a:ln w="25400">
                <a:solidFill>
                  <a:srgbClr val="002060"/>
                </a:solidFill>
              </a:ln>
            </c:spPr>
          </c:dPt>
          <c:cat>
            <c:strRef>
              <c:f>'[Canales endémicos Hospitalizaciones HSC-HLA.xlsx]Consolidado mayores de 15'!$A$3:$A$54</c:f>
              <c:strCache>
                <c:ptCount val="52"/>
                <c:pt idx="0">
                  <c:v>SEM 1</c:v>
                </c:pt>
                <c:pt idx="1">
                  <c:v>SEM 2</c:v>
                </c:pt>
                <c:pt idx="2">
                  <c:v>SEM 3</c:v>
                </c:pt>
                <c:pt idx="3">
                  <c:v>SEM 4</c:v>
                </c:pt>
                <c:pt idx="4">
                  <c:v>SEM 5</c:v>
                </c:pt>
                <c:pt idx="5">
                  <c:v>SEM 6</c:v>
                </c:pt>
                <c:pt idx="6">
                  <c:v>SEM 7</c:v>
                </c:pt>
                <c:pt idx="7">
                  <c:v>SEM 8</c:v>
                </c:pt>
                <c:pt idx="8">
                  <c:v>SEM 9</c:v>
                </c:pt>
                <c:pt idx="9">
                  <c:v>SEM 10</c:v>
                </c:pt>
                <c:pt idx="10">
                  <c:v>SEM 11</c:v>
                </c:pt>
                <c:pt idx="11">
                  <c:v>SEM 12</c:v>
                </c:pt>
                <c:pt idx="12">
                  <c:v>SEM 13</c:v>
                </c:pt>
                <c:pt idx="13">
                  <c:v>SEM 14</c:v>
                </c:pt>
                <c:pt idx="14">
                  <c:v>SEM 15</c:v>
                </c:pt>
                <c:pt idx="15">
                  <c:v>SEM 16</c:v>
                </c:pt>
                <c:pt idx="16">
                  <c:v>SEM 17</c:v>
                </c:pt>
                <c:pt idx="17">
                  <c:v>SEM 18</c:v>
                </c:pt>
                <c:pt idx="18">
                  <c:v>SEM 19</c:v>
                </c:pt>
                <c:pt idx="19">
                  <c:v>SEM 20</c:v>
                </c:pt>
                <c:pt idx="20">
                  <c:v>SEM 21</c:v>
                </c:pt>
                <c:pt idx="21">
                  <c:v>SEM 22</c:v>
                </c:pt>
                <c:pt idx="22">
                  <c:v>SEM 23</c:v>
                </c:pt>
                <c:pt idx="23">
                  <c:v>SEM 24</c:v>
                </c:pt>
                <c:pt idx="24">
                  <c:v>SEM 25</c:v>
                </c:pt>
                <c:pt idx="25">
                  <c:v>SEM 26</c:v>
                </c:pt>
                <c:pt idx="26">
                  <c:v>SEM 27</c:v>
                </c:pt>
                <c:pt idx="27">
                  <c:v>SEM 28</c:v>
                </c:pt>
                <c:pt idx="28">
                  <c:v>SEM 29</c:v>
                </c:pt>
                <c:pt idx="29">
                  <c:v>SEM 30</c:v>
                </c:pt>
                <c:pt idx="30">
                  <c:v>SEM 31</c:v>
                </c:pt>
                <c:pt idx="31">
                  <c:v>SEM 32</c:v>
                </c:pt>
                <c:pt idx="32">
                  <c:v>SEM 33</c:v>
                </c:pt>
                <c:pt idx="33">
                  <c:v>SEM 34</c:v>
                </c:pt>
                <c:pt idx="34">
                  <c:v>SEM 35</c:v>
                </c:pt>
                <c:pt idx="35">
                  <c:v>SEM 36</c:v>
                </c:pt>
                <c:pt idx="36">
                  <c:v>SEM 37</c:v>
                </c:pt>
                <c:pt idx="37">
                  <c:v>SEM 38</c:v>
                </c:pt>
                <c:pt idx="38">
                  <c:v>SEM 39</c:v>
                </c:pt>
                <c:pt idx="39">
                  <c:v>SEM 40</c:v>
                </c:pt>
                <c:pt idx="40">
                  <c:v>SEM 41</c:v>
                </c:pt>
                <c:pt idx="41">
                  <c:v>SEM 42</c:v>
                </c:pt>
                <c:pt idx="42">
                  <c:v>SEM 43</c:v>
                </c:pt>
                <c:pt idx="43">
                  <c:v>SEM 44</c:v>
                </c:pt>
                <c:pt idx="44">
                  <c:v>SEM 45</c:v>
                </c:pt>
                <c:pt idx="45">
                  <c:v>SEM 46</c:v>
                </c:pt>
                <c:pt idx="46">
                  <c:v>SEM 47</c:v>
                </c:pt>
                <c:pt idx="47">
                  <c:v>SEM 48</c:v>
                </c:pt>
                <c:pt idx="48">
                  <c:v>SEM 49</c:v>
                </c:pt>
                <c:pt idx="49">
                  <c:v>SEM 50</c:v>
                </c:pt>
                <c:pt idx="50">
                  <c:v>SEM 51</c:v>
                </c:pt>
                <c:pt idx="51">
                  <c:v>SEM 52</c:v>
                </c:pt>
              </c:strCache>
            </c:strRef>
          </c:cat>
          <c:val>
            <c:numRef>
              <c:f>'[Canales endémicos Hospitalizaciones HSC-HLA.xlsx]Consolidado mayores de 15'!$G$3:$G$53</c:f>
              <c:numCache>
                <c:formatCode>#,##0</c:formatCode>
                <c:ptCount val="51"/>
                <c:pt idx="0">
                  <c:v>19</c:v>
                </c:pt>
                <c:pt idx="1">
                  <c:v>6</c:v>
                </c:pt>
                <c:pt idx="2">
                  <c:v>11</c:v>
                </c:pt>
                <c:pt idx="3">
                  <c:v>9</c:v>
                </c:pt>
                <c:pt idx="4">
                  <c:v>8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15</c:v>
                </c:pt>
                <c:pt idx="9">
                  <c:v>16</c:v>
                </c:pt>
                <c:pt idx="10">
                  <c:v>9</c:v>
                </c:pt>
                <c:pt idx="11">
                  <c:v>19</c:v>
                </c:pt>
                <c:pt idx="12">
                  <c:v>12</c:v>
                </c:pt>
                <c:pt idx="13">
                  <c:v>18</c:v>
                </c:pt>
                <c:pt idx="14">
                  <c:v>12</c:v>
                </c:pt>
                <c:pt idx="15">
                  <c:v>7</c:v>
                </c:pt>
                <c:pt idx="16">
                  <c:v>12</c:v>
                </c:pt>
                <c:pt idx="17">
                  <c:v>18</c:v>
                </c:pt>
                <c:pt idx="18">
                  <c:v>10</c:v>
                </c:pt>
                <c:pt idx="19">
                  <c:v>28</c:v>
                </c:pt>
                <c:pt idx="20">
                  <c:v>18</c:v>
                </c:pt>
                <c:pt idx="21">
                  <c:v>18</c:v>
                </c:pt>
                <c:pt idx="22">
                  <c:v>24</c:v>
                </c:pt>
                <c:pt idx="23">
                  <c:v>20</c:v>
                </c:pt>
                <c:pt idx="24">
                  <c:v>22</c:v>
                </c:pt>
                <c:pt idx="25">
                  <c:v>24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23</c:v>
                </c:pt>
                <c:pt idx="30">
                  <c:v>19</c:v>
                </c:pt>
                <c:pt idx="31">
                  <c:v>15</c:v>
                </c:pt>
                <c:pt idx="32">
                  <c:v>18</c:v>
                </c:pt>
                <c:pt idx="33">
                  <c:v>16</c:v>
                </c:pt>
                <c:pt idx="34">
                  <c:v>16</c:v>
                </c:pt>
                <c:pt idx="35">
                  <c:v>15</c:v>
                </c:pt>
                <c:pt idx="36">
                  <c:v>16</c:v>
                </c:pt>
                <c:pt idx="37">
                  <c:v>8</c:v>
                </c:pt>
                <c:pt idx="38">
                  <c:v>23</c:v>
                </c:pt>
                <c:pt idx="39">
                  <c:v>21</c:v>
                </c:pt>
                <c:pt idx="40">
                  <c:v>11</c:v>
                </c:pt>
                <c:pt idx="41">
                  <c:v>14</c:v>
                </c:pt>
                <c:pt idx="42">
                  <c:v>9</c:v>
                </c:pt>
                <c:pt idx="43">
                  <c:v>12</c:v>
                </c:pt>
                <c:pt idx="44">
                  <c:v>15</c:v>
                </c:pt>
                <c:pt idx="45">
                  <c:v>19</c:v>
                </c:pt>
                <c:pt idx="46">
                  <c:v>15</c:v>
                </c:pt>
                <c:pt idx="47">
                  <c:v>12</c:v>
                </c:pt>
                <c:pt idx="48">
                  <c:v>12</c:v>
                </c:pt>
                <c:pt idx="49">
                  <c:v>6</c:v>
                </c:pt>
                <c:pt idx="50">
                  <c:v>11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'[Canales endémicos Hospitalizaciones HSC-HLA.xlsx]Consolidado mayores de 15'!$H$2</c:f>
              <c:strCache>
                <c:ptCount val="1"/>
                <c:pt idx="0">
                  <c:v>2018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triangle"/>
            <c:size val="2"/>
            <c:spPr>
              <a:ln>
                <a:solidFill>
                  <a:srgbClr val="C00000"/>
                </a:solidFill>
              </a:ln>
            </c:spPr>
          </c:marker>
          <c:val>
            <c:numRef>
              <c:f>'[Canales endémicos Hospitalizaciones HSC-HLA.xlsx]Consolidado mayores de 15'!$H$3:$H$24</c:f>
              <c:numCache>
                <c:formatCode>#,##0</c:formatCode>
                <c:ptCount val="22"/>
                <c:pt idx="0">
                  <c:v>8</c:v>
                </c:pt>
                <c:pt idx="1">
                  <c:v>11</c:v>
                </c:pt>
                <c:pt idx="2">
                  <c:v>8</c:v>
                </c:pt>
                <c:pt idx="3">
                  <c:v>8</c:v>
                </c:pt>
                <c:pt idx="4">
                  <c:v>10</c:v>
                </c:pt>
                <c:pt idx="5">
                  <c:v>11</c:v>
                </c:pt>
                <c:pt idx="6">
                  <c:v>13</c:v>
                </c:pt>
                <c:pt idx="7">
                  <c:v>11</c:v>
                </c:pt>
                <c:pt idx="8">
                  <c:v>11</c:v>
                </c:pt>
                <c:pt idx="9">
                  <c:v>10</c:v>
                </c:pt>
                <c:pt idx="10">
                  <c:v>10</c:v>
                </c:pt>
                <c:pt idx="11">
                  <c:v>12</c:v>
                </c:pt>
                <c:pt idx="12">
                  <c:v>11</c:v>
                </c:pt>
                <c:pt idx="13">
                  <c:v>20</c:v>
                </c:pt>
                <c:pt idx="14">
                  <c:v>20</c:v>
                </c:pt>
                <c:pt idx="15">
                  <c:v>15</c:v>
                </c:pt>
                <c:pt idx="16">
                  <c:v>13</c:v>
                </c:pt>
                <c:pt idx="17">
                  <c:v>17</c:v>
                </c:pt>
                <c:pt idx="18">
                  <c:v>17</c:v>
                </c:pt>
                <c:pt idx="19">
                  <c:v>24</c:v>
                </c:pt>
                <c:pt idx="20">
                  <c:v>16</c:v>
                </c:pt>
                <c:pt idx="21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6042288"/>
        <c:axId val="607067744"/>
      </c:lineChart>
      <c:catAx>
        <c:axId val="40604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/>
            </a:pPr>
            <a:endParaRPr lang="es-CL"/>
          </a:p>
        </c:txPr>
        <c:crossAx val="607067744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607067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s-CL"/>
          </a:p>
        </c:txPr>
        <c:crossAx val="40604228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b"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u="none" strike="noStrike" baseline="0">
                <a:effectLst/>
              </a:rPr>
              <a:t>Total Virus Aislados, Vigilancia Centinela Hospital San Camilo 2018</a:t>
            </a:r>
            <a:endParaRPr lang="es-CL"/>
          </a:p>
        </c:rich>
      </c:tx>
      <c:layout>
        <c:manualLayout>
          <c:xMode val="edge"/>
          <c:yMode val="edge"/>
          <c:x val="0.1566248906386701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title>
    <c:autoTitleDeleted val="0"/>
    <c:plotArea>
      <c:layout/>
      <c:barChart>
        <c:barDir val="col"/>
        <c:grouping val="stacked"/>
        <c:varyColors val="0"/>
        <c:ser>
          <c:idx val="1"/>
          <c:order val="0"/>
          <c:tx>
            <c:strRef>
              <c:f>'2018'!$C$1</c:f>
              <c:strCache>
                <c:ptCount val="1"/>
                <c:pt idx="0">
                  <c:v>VRS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'2018'!$C$2:$C$23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2</c:v>
                </c:pt>
              </c:numCache>
            </c:numRef>
          </c:val>
        </c:ser>
        <c:ser>
          <c:idx val="2"/>
          <c:order val="1"/>
          <c:tx>
            <c:strRef>
              <c:f>'2018'!$D$1</c:f>
              <c:strCache>
                <c:ptCount val="1"/>
                <c:pt idx="0">
                  <c:v>ADN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'2018'!$D$2:$D$23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0</c:v>
                </c:pt>
              </c:numCache>
            </c:numRef>
          </c:val>
        </c:ser>
        <c:ser>
          <c:idx val="3"/>
          <c:order val="2"/>
          <c:tx>
            <c:strRef>
              <c:f>'2018'!$E$1</c:f>
              <c:strCache>
                <c:ptCount val="1"/>
                <c:pt idx="0">
                  <c:v>PAI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'2018'!$E$2:$E$23</c:f>
              <c:numCache>
                <c:formatCode>General</c:formatCode>
                <c:ptCount val="2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</c:ser>
        <c:ser>
          <c:idx val="4"/>
          <c:order val="3"/>
          <c:tx>
            <c:strRef>
              <c:f>'2018'!$F$1</c:f>
              <c:strCache>
                <c:ptCount val="1"/>
                <c:pt idx="0">
                  <c:v>FLU 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'2018'!$F$2:$F$23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</c:v>
                </c:pt>
              </c:numCache>
            </c:numRef>
          </c:val>
        </c:ser>
        <c:ser>
          <c:idx val="5"/>
          <c:order val="4"/>
          <c:tx>
            <c:strRef>
              <c:f>'2018'!$G$1</c:f>
              <c:strCache>
                <c:ptCount val="1"/>
                <c:pt idx="0">
                  <c:v>FLU B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'2018'!$G$2:$G$23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ser>
          <c:idx val="6"/>
          <c:order val="5"/>
          <c:tx>
            <c:strRef>
              <c:f>'2018'!$H$1</c:f>
              <c:strCache>
                <c:ptCount val="1"/>
                <c:pt idx="0">
                  <c:v>META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'2018'!$H$2:$H$23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2837712"/>
        <c:axId val="402838496"/>
        <c:extLst/>
      </c:barChart>
      <c:catAx>
        <c:axId val="4028377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02838496"/>
        <c:crosses val="autoZero"/>
        <c:auto val="1"/>
        <c:lblAlgn val="ctr"/>
        <c:lblOffset val="100"/>
        <c:noMultiLvlLbl val="0"/>
      </c:catAx>
      <c:valAx>
        <c:axId val="40283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40283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3B5C-9621-4FD9-AC39-85FAA7E5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1169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Ds-GES1</dc:creator>
  <cp:keywords/>
  <dc:description/>
  <cp:lastModifiedBy>maylen.cortese</cp:lastModifiedBy>
  <cp:revision>3</cp:revision>
  <cp:lastPrinted>2016-08-01T15:33:00Z</cp:lastPrinted>
  <dcterms:created xsi:type="dcterms:W3CDTF">2018-06-11T19:59:00Z</dcterms:created>
  <dcterms:modified xsi:type="dcterms:W3CDTF">2018-06-11T20:02:00Z</dcterms:modified>
</cp:coreProperties>
</file>